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6096"/>
        <w:widowControl w:val="off"/>
        <w:rPr>
          <w:rFonts w:ascii="Times New Roman" w:hAnsi="Times New Roman" w:eastAsia="Times New Roman" w:cs="Times New Roman"/>
          <w:color w:val="000000"/>
          <w:sz w:val="22"/>
          <w:lang w:bidi="ru-RU"/>
        </w:rPr>
      </w:pPr>
      <w:r>
        <w:rPr>
          <w:rFonts w:ascii="Times New Roman" w:hAnsi="Times New Roman" w:eastAsia="Times New Roman" w:cs="Times New Roman"/>
          <w:color w:val="000000"/>
          <w:sz w:val="22"/>
          <w:lang w:bidi="ru-RU"/>
        </w:rPr>
        <w:t xml:space="preserve">Приложение № 6</w:t>
      </w:r>
      <w:r>
        <w:rPr>
          <w:rFonts w:ascii="Times New Roman" w:hAnsi="Times New Roman" w:eastAsia="Times New Roman" w:cs="Times New Roman"/>
          <w:color w:val="000000"/>
          <w:sz w:val="22"/>
          <w:lang w:bidi="ru-RU"/>
        </w:rPr>
      </w:r>
    </w:p>
    <w:p>
      <w:pPr>
        <w:ind w:left="6096"/>
        <w:widowControl w:val="off"/>
        <w:rPr>
          <w:rFonts w:ascii="Times New Roman" w:hAnsi="Times New Roman" w:eastAsia="Times New Roman" w:cs="Times New Roman"/>
          <w:color w:val="000000"/>
          <w:sz w:val="22"/>
          <w:lang w:bidi="ru-RU"/>
        </w:rPr>
      </w:pPr>
      <w:r>
        <w:rPr>
          <w:rFonts w:ascii="Times New Roman" w:hAnsi="Times New Roman" w:eastAsia="Times New Roman" w:cs="Times New Roman"/>
          <w:color w:val="000000"/>
          <w:sz w:val="22"/>
          <w:lang w:bidi="ru-RU"/>
        </w:rPr>
      </w:r>
      <w:r>
        <w:rPr>
          <w:rFonts w:ascii="Times New Roman" w:hAnsi="Times New Roman" w:eastAsia="Times New Roman" w:cs="Times New Roman"/>
          <w:color w:val="000000"/>
          <w:sz w:val="22"/>
          <w:lang w:bidi="ru-RU"/>
        </w:rPr>
      </w:r>
    </w:p>
    <w:p>
      <w:pPr>
        <w:ind w:left="6096"/>
        <w:widowControl w:val="off"/>
        <w:rPr>
          <w:rFonts w:ascii="Times New Roman" w:hAnsi="Times New Roman" w:eastAsia="Times New Roman" w:cs="Times New Roman"/>
          <w:color w:val="000000"/>
          <w:sz w:val="22"/>
          <w:lang w:bidi="ru-RU"/>
        </w:rPr>
      </w:pPr>
      <w:r>
        <w:rPr>
          <w:rFonts w:ascii="Times New Roman" w:hAnsi="Times New Roman" w:eastAsia="Times New Roman" w:cs="Times New Roman"/>
          <w:color w:val="000000"/>
          <w:sz w:val="22"/>
          <w:lang w:bidi="ru-RU"/>
        </w:rPr>
        <w:t xml:space="preserve">Утверждено </w:t>
      </w:r>
      <w:r>
        <w:rPr>
          <w:rFonts w:ascii="Times New Roman" w:hAnsi="Times New Roman" w:eastAsia="Times New Roman" w:cs="Times New Roman"/>
          <w:color w:val="000000"/>
          <w:sz w:val="22"/>
          <w:lang w:bidi="ru-RU"/>
        </w:rPr>
      </w:r>
    </w:p>
    <w:p>
      <w:pPr>
        <w:ind w:left="6096"/>
        <w:widowControl w:val="off"/>
        <w:rPr>
          <w:rFonts w:ascii="Times New Roman" w:hAnsi="Times New Roman" w:eastAsia="Times New Roman" w:cs="Times New Roman"/>
          <w:color w:val="000000"/>
          <w:sz w:val="22"/>
          <w:lang w:bidi="ru-RU"/>
        </w:rPr>
      </w:pPr>
      <w:r>
        <w:rPr>
          <w:rFonts w:ascii="Times New Roman" w:hAnsi="Times New Roman" w:eastAsia="Times New Roman" w:cs="Times New Roman"/>
          <w:color w:val="000000"/>
          <w:sz w:val="22"/>
          <w:lang w:bidi="ru-RU"/>
        </w:rPr>
        <w:t xml:space="preserve">приказом ООО «ЛОТОС ПЛЮС» </w:t>
      </w:r>
      <w:r>
        <w:rPr>
          <w:rFonts w:ascii="Times New Roman" w:hAnsi="Times New Roman" w:eastAsia="Times New Roman" w:cs="Times New Roman"/>
          <w:color w:val="000000"/>
          <w:sz w:val="22"/>
          <w:lang w:bidi="ru-RU"/>
        </w:rPr>
      </w:r>
    </w:p>
    <w:p>
      <w:pPr>
        <w:ind w:left="6096"/>
        <w:widowControl w:val="off"/>
        <w:rPr>
          <w:rFonts w:ascii="Times New Roman" w:hAnsi="Times New Roman" w:eastAsia="Times New Roman" w:cs="Times New Roman"/>
          <w:color w:val="000000"/>
          <w:sz w:val="22"/>
          <w:lang w:bidi="ru-RU"/>
        </w:rPr>
      </w:pPr>
      <w:r>
        <w:rPr>
          <w:rFonts w:ascii="Times New Roman" w:hAnsi="Times New Roman" w:eastAsia="Times New Roman" w:cs="Times New Roman"/>
          <w:color w:val="000000"/>
          <w:sz w:val="22"/>
          <w:lang w:bidi="ru-RU"/>
        </w:rPr>
        <w:t xml:space="preserve">от «___» _________2025г.</w:t>
      </w:r>
      <w:r>
        <w:rPr>
          <w:rFonts w:ascii="Times New Roman" w:hAnsi="Times New Roman" w:eastAsia="Times New Roman" w:cs="Times New Roman"/>
          <w:color w:val="000000"/>
          <w:sz w:val="22"/>
          <w:lang w:bidi="ru-RU"/>
        </w:rPr>
      </w:r>
    </w:p>
    <w:p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</w:r>
    </w:p>
    <w:p>
      <w:pPr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</w:r>
    </w:p>
    <w:p>
      <w:pPr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</w:r>
    </w:p>
    <w:p>
      <w:pPr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ПОЛИТИКА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br/>
        <w:t xml:space="preserve">обработки и обеспечения безопасности персональных данных ООО «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ЛотосПлюс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»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</w:r>
    </w:p>
    <w:p>
      <w:pPr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</w:r>
    </w:p>
    <w:p>
      <w:pPr>
        <w:pStyle w:val="707"/>
        <w:numPr>
          <w:ilvl w:val="0"/>
          <w:numId w:val="1"/>
        </w:num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Общие положения.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</w:r>
    </w:p>
    <w:p>
      <w:pPr>
        <w:pStyle w:val="707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</w:r>
    </w:p>
    <w:p>
      <w:pPr>
        <w:pStyle w:val="707"/>
        <w:numPr>
          <w:ilvl w:val="1"/>
          <w:numId w:val="1"/>
        </w:numPr>
        <w:jc w:val="both"/>
        <w:tabs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</w:tabs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Настоящая Политика конфиденциальности (далее — «Политика») устанавливает порядок обработки и меры по защите персональных данных (далее — «ПД»), которые 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ООО «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ЛотосПлюс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» (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далее — «Оператор»), ОГРН 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1237700386978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, ИНН 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7743419203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, адрес: 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108820, г. Москва, 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вн.тер.г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. пос. Мосрентген, д. 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Мамыри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, д. 3, стр. 1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jc w:val="both"/>
        <w:tabs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</w:tabs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1"/>
          <w:numId w:val="1"/>
        </w:numPr>
        <w:jc w:val="both"/>
        <w:tabs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</w:tabs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Настоящая Политика является общедоступной и подлежит размещению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на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сайт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е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Общества в информационно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-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телекоммуникационной сети «Интернет», с использованием которых осуществляется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сбор персональных данных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https://loplus.ru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(далее — «Ресурс»)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.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jc w:val="both"/>
        <w:tabs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</w:tabs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1"/>
          <w:numId w:val="1"/>
        </w:numPr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Настоящая Политика распространяется на все процессы обработки ПД, осуществляемые Оператором при использовании Ресурса. Все 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работники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Оператора обязаны соблюдать требования Политики и обеспечивать защиту персональных данных.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numPr>
          <w:ilvl w:val="1"/>
          <w:numId w:val="1"/>
        </w:numPr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cs="Times New Roman"/>
          <w:sz w:val="20"/>
          <w:szCs w:val="20"/>
        </w:rPr>
        <w:t xml:space="preserve">Политика в отношении обработки персональных данных в </w:t>
      </w:r>
      <w:r>
        <w:rPr>
          <w:rFonts w:ascii="Times New Roman" w:hAnsi="Times New Roman" w:eastAsia="Courier New" w:cs="Times New Roman"/>
          <w:color w:val="000000"/>
          <w:sz w:val="20"/>
          <w:szCs w:val="20"/>
          <w:lang w:bidi="ru-RU"/>
        </w:rPr>
        <w:t xml:space="preserve">ООО «ЛОТОС ПЛЮС» </w:t>
      </w:r>
      <w:r>
        <w:rPr>
          <w:rFonts w:ascii="Times New Roman" w:hAnsi="Times New Roman" w:cs="Times New Roman"/>
          <w:sz w:val="20"/>
          <w:szCs w:val="20"/>
        </w:rPr>
        <w:t xml:space="preserve">разработана в соответствии с Конституцией Российской Федерации, Федеральным законом от 27.07.2006г. </w:t>
      </w:r>
      <w:r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№ 152-ФЗ «О персональных данных» (далее – Федеральный закон «О персональных данных»), Трудовым кодексом Российской Федерации</w:t>
      </w:r>
      <w:r>
        <w:rPr>
          <w:rFonts w:ascii="Times New Roman" w:hAnsi="Times New Roman" w:cs="Times New Roman"/>
          <w:sz w:val="20"/>
          <w:szCs w:val="20"/>
        </w:rPr>
        <w:t xml:space="preserve"> и другими федеральными законами и подзаконным актами</w:t>
      </w:r>
      <w:r>
        <w:rPr>
          <w:rFonts w:ascii="Times New Roman" w:hAnsi="Times New Roman" w:cs="Times New Roman"/>
          <w:sz w:val="20"/>
          <w:szCs w:val="20"/>
        </w:rPr>
        <w:t xml:space="preserve">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1"/>
          <w:numId w:val="1"/>
        </w:numPr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По вопросам, связанным с обработкой персональных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данных, вы можете обратиться к Оператору по следующим контактам: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Электронная почта: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en-US" w:eastAsia="ru-RU"/>
          <w14:ligatures w14:val="none"/>
        </w:rPr>
        <w:t xml:space="preserve">info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@</w:t>
      </w:r>
      <w:r>
        <w:rPr>
          <w:rFonts w:ascii="Times New Roman" w:hAnsi="Times New Roman" w:eastAsia="Times New Roman" w:cs="Times New Roman"/>
          <w:sz w:val="20"/>
          <w:szCs w:val="20"/>
          <w:lang w:val="en-US" w:eastAsia="ru-RU"/>
          <w14:ligatures w14:val="none"/>
        </w:rPr>
        <w:t xml:space="preserve">loplus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.</w:t>
      </w:r>
      <w:r>
        <w:rPr>
          <w:rFonts w:ascii="Times New Roman" w:hAnsi="Times New Roman" w:eastAsia="Times New Roman" w:cs="Times New Roman"/>
          <w:sz w:val="20"/>
          <w:szCs w:val="20"/>
          <w:lang w:val="en-US" w:eastAsia="ru-RU"/>
          <w14:ligatures w14:val="none"/>
        </w:rPr>
        <w:t xml:space="preserve">ru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Почтовый адрес: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108820, г. Москва, 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вн.тер.г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. пос. Мосрентген, д. 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Мамыри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, д. 3, стр. 1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0"/>
          <w:numId w:val="1"/>
        </w:numPr>
        <w:jc w:val="center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Термины, используемые в Политике.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0"/>
          <w:numId w:val="2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Оператор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— юридическое лицо, которое самостоятельно определяет цели и способы обработки персональных данных. В рамках настоящей Политики Оператором является ООО «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ЛотосПлюс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».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0"/>
          <w:numId w:val="2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Персональные данные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— любая информация, относящаяся к прямо или косвенно определенному или определяемому физическому лицу.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0"/>
          <w:numId w:val="2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Субъект персональных данных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— физическое лицо, к которому относятся обрабатываемые персональные данные.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0"/>
          <w:numId w:val="2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Обработка персональных данных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— любое действие или совокупность действий с персональными данными, включая сбор, запись, систематизацию, хранение, обновление, передачу, блокирование, обезличивание, удаление и уничтожение.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0"/>
          <w:numId w:val="2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Обработчик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— лицо, которое по поручению Оператора и в его интересах осуществляет обработку персональных данных.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0"/>
          <w:numId w:val="2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Клиент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— физическое лицо, являющееся резидентом Российской Федерации, достигшее 18-летнего возраста и принявшее условия Договора путем акцепта.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0"/>
          <w:numId w:val="2"/>
        </w:numPr>
        <w:jc w:val="both"/>
        <w:spacing w:before="100" w:beforeAutospacing="1" w:after="100" w:afterAutospacing="1"/>
        <w:rPr>
          <w:rStyle w:val="721"/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Файлы </w:t>
      </w:r>
      <w:r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cookie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— это небольшой фрагмент данных, который принимается и обрабатывается устройством, которое Вы используете для доступа к Сайтам. Файлы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cookie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хранят и отп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равляют обратно на Сайты информацию, которая помогает Вашей работе с Сайтами и позволяет нам запоминать Ваши предпочтения по истечении времени, например, настройки браузера или узнавать Вашу учетную запись. Для получения дополнительной информации о файлах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cookie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их описании, о целях использования и возможных способах управления ими, следуйте нашей Политике использования файлов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cookie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.</w:t>
      </w:r>
      <w:r>
        <w:rPr>
          <w:rStyle w:val="721"/>
          <w:rFonts w:ascii="Times New Roman" w:hAnsi="Times New Roman" w:cs="Times New Roman"/>
          <w:sz w:val="20"/>
          <w:szCs w:val="20"/>
          <w:shd w:val="clear" w:color="auto" w:fill="ffffff"/>
        </w:rPr>
        <w:t xml:space="preserve"> </w:t>
      </w:r>
      <w:r>
        <w:rPr>
          <w:rStyle w:val="721"/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0"/>
          <w:numId w:val="1"/>
        </w:numPr>
        <w:jc w:val="center"/>
        <w:widowControl w:val="off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Принципы обработки персональных данных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</w:t>
      </w:r>
      <w:r>
        <w:rPr>
          <w:rFonts w:ascii="Times New Roman" w:hAnsi="Times New Roman" w:cs="Times New Roman"/>
          <w:b/>
          <w:bCs/>
          <w:sz w:val="20"/>
          <w:szCs w:val="20"/>
        </w:rPr>
      </w:r>
    </w:p>
    <w:p>
      <w:pPr>
        <w:pStyle w:val="707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1"/>
          <w:numId w:val="1"/>
        </w:numPr>
        <w:ind w:left="851" w:hanging="425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Обработка персональных данных осуществляется на законной основе.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ind w:left="851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1"/>
          <w:numId w:val="1"/>
        </w:numPr>
        <w:ind w:left="851" w:hanging="425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Обработка персональных данных ограничивается достижением конкретных, заранее определенных и законных целей. Не допускается обработка персональных данных, несовместимая с целями сбора персональных данных.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1"/>
          <w:numId w:val="1"/>
        </w:numPr>
        <w:ind w:left="851" w:hanging="425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Не допускается объединение баз данных, содержащих персональные данные, обработка которых осуществляется в целях, несовместимых между собой</w:t>
      </w:r>
      <w:r>
        <w:rPr>
          <w:rFonts w:ascii="Times New Roman" w:hAnsi="Times New Roman" w:cs="Times New Roman"/>
          <w:sz w:val="20"/>
          <w:szCs w:val="20"/>
        </w:rPr>
        <w:t xml:space="preserve">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1"/>
          <w:numId w:val="1"/>
        </w:numPr>
        <w:ind w:left="851" w:hanging="425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Обработке подлежат только те персональные данные, которые отвечают целям их обработки.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1"/>
          <w:numId w:val="1"/>
        </w:numPr>
        <w:ind w:left="851" w:hanging="425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Содержание и объем персональных данных соответствуют заявленным целям обработки. Обрабатываемые персональные данные не являются избыточным по отношению к заявленным целям обработки.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1"/>
          <w:numId w:val="1"/>
        </w:numPr>
        <w:ind w:left="851" w:hanging="425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При обработке персональных данных о</w:t>
      </w:r>
      <w:r>
        <w:rPr>
          <w:rFonts w:ascii="Times New Roman" w:hAnsi="Times New Roman" w:cs="Times New Roman"/>
          <w:sz w:val="20"/>
          <w:szCs w:val="20"/>
        </w:rPr>
        <w:t xml:space="preserve">беспечены точность персональных данных, их достаточность, а в необходимых случаях и актуальность по отношению к целям обработки персональных данных. Оператором обеспечивается принятие необходимых мер по удалению или уточнению неполных, или неточных данных.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1"/>
          <w:numId w:val="1"/>
        </w:numPr>
        <w:ind w:left="851" w:hanging="425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Хранение персональных данных осуществляется в форме, позволяющ</w:t>
      </w:r>
      <w:r>
        <w:rPr>
          <w:rFonts w:ascii="Times New Roman" w:hAnsi="Times New Roman" w:cs="Times New Roman"/>
          <w:sz w:val="20"/>
          <w:szCs w:val="20"/>
        </w:rPr>
        <w:t xml:space="preserve">ей определить субъекта персональных данных, не дольше, чем этого требуют цели обработки персональных данных, если срок хранения персональных данных не установлен федеральным законом, договором, стороной которого, выгодоприобретателем или поручителем, по ко</w:t>
      </w:r>
      <w:r>
        <w:rPr>
          <w:rFonts w:ascii="Times New Roman" w:hAnsi="Times New Roman" w:cs="Times New Roman"/>
          <w:sz w:val="20"/>
          <w:szCs w:val="20"/>
        </w:rPr>
        <w:t xml:space="preserve">торому является субъект персональных данных. Обрабатываемые персональные данные подлежат уничтожению либо обезличиванию по достижению целей обработки или в случае утраты необходимости в достижении этих целей, если иное не предусмотрено федеральным законом.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0"/>
          <w:numId w:val="1"/>
        </w:numPr>
        <w:jc w:val="center"/>
        <w:widowControl w:val="off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Условия обработки персональных данных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</w:t>
      </w:r>
      <w:r>
        <w:rPr>
          <w:rFonts w:ascii="Times New Roman" w:hAnsi="Times New Roman" w:cs="Times New Roman"/>
          <w:b/>
          <w:bCs/>
          <w:sz w:val="20"/>
          <w:szCs w:val="20"/>
        </w:rPr>
      </w:r>
    </w:p>
    <w:p>
      <w:pPr>
        <w:ind w:left="720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1"/>
          <w:numId w:val="1"/>
        </w:numPr>
        <w:ind w:left="851" w:hanging="567"/>
        <w:jc w:val="both"/>
        <w:widowControl w:val="off"/>
        <w:tabs>
          <w:tab w:val="left" w:pos="284" w:leader="none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Обработка персональных данных осуществляется с соблюдением принципов и правил, предусмотренных Федеральным законом «О персональных данных». Обработка персональных данных допускается в следующих случаях: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ind w:left="851"/>
        <w:jc w:val="both"/>
        <w:widowControl w:val="off"/>
        <w:tabs>
          <w:tab w:val="left" w:pos="284" w:leader="none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2"/>
          <w:numId w:val="1"/>
        </w:numPr>
        <w:ind w:left="851" w:hanging="567"/>
        <w:jc w:val="both"/>
        <w:widowControl w:val="off"/>
        <w:tabs>
          <w:tab w:val="left" w:pos="284" w:leader="none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Обработка персональных данных осуществляется с согласия субъекта персональных данных на обработку его персональных данных;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2"/>
          <w:numId w:val="1"/>
        </w:numPr>
        <w:ind w:left="851" w:hanging="567"/>
        <w:jc w:val="both"/>
        <w:widowControl w:val="off"/>
        <w:tabs>
          <w:tab w:val="left" w:pos="284" w:leader="none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Обработка п</w:t>
      </w:r>
      <w:r>
        <w:rPr>
          <w:rFonts w:ascii="Times New Roman" w:hAnsi="Times New Roman" w:cs="Times New Roman"/>
          <w:sz w:val="20"/>
          <w:szCs w:val="20"/>
        </w:rPr>
        <w:t xml:space="preserve">ерсональных данных необходима для достижения целей, предусмотренных международным договором Российской Федерации или законом, для осуществления и выполнения возложенных законодательством Российской Федерации на Оператора функций, полномочий и обязанностей;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2"/>
          <w:numId w:val="1"/>
        </w:numPr>
        <w:ind w:left="851" w:hanging="567"/>
        <w:jc w:val="both"/>
        <w:widowControl w:val="off"/>
        <w:tabs>
          <w:tab w:val="left" w:pos="284" w:leader="none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Обработка персональных данных необходима для исполнения полномочий федеральных органов исполнительной власти, органов государственных внебюджетных фондов, исполни</w:t>
      </w:r>
      <w:r>
        <w:rPr>
          <w:rFonts w:ascii="Times New Roman" w:hAnsi="Times New Roman" w:cs="Times New Roman"/>
          <w:sz w:val="20"/>
          <w:szCs w:val="20"/>
        </w:rPr>
        <w:t xml:space="preserve">тельных органов государственной власти субъектов Российской Федерации, органов местного самоуправления и функций организаций, участвующих в предоставлении соответственно государственных и муниципальных услуг, предусмотренных Федеральным законом от 27.07.20</w:t>
      </w:r>
      <w:r>
        <w:rPr>
          <w:rFonts w:ascii="Times New Roman" w:hAnsi="Times New Roman" w:cs="Times New Roman"/>
          <w:sz w:val="20"/>
          <w:szCs w:val="20"/>
        </w:rPr>
        <w:t xml:space="preserve">10 № 210-ФЗ «Об организации предоставления государственных и муниципальных услуг», включая регистрацию субъекта персональных данных на едином портале государственных и муниципальных услуг и (или) региональных порталах государственных и муниципальных услуг;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2"/>
          <w:numId w:val="1"/>
        </w:numPr>
        <w:ind w:left="851" w:hanging="567"/>
        <w:jc w:val="both"/>
        <w:widowControl w:val="off"/>
        <w:tabs>
          <w:tab w:val="left" w:pos="284" w:leader="none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Обработка персональных данных необходима для исполнения договора, стороной которого либо выгодоприобре</w:t>
      </w:r>
      <w:r>
        <w:rPr>
          <w:rFonts w:ascii="Times New Roman" w:hAnsi="Times New Roman" w:cs="Times New Roman"/>
          <w:sz w:val="20"/>
          <w:szCs w:val="20"/>
        </w:rPr>
        <w:t xml:space="preserve">тателем или поручителем, по которому является субъект персональных данных, а также для заключения договора по инициативе субъекта персональных данных или договора, по которому субъект персональных данных будет являться выгодоприобретателем или поручителем;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2"/>
          <w:numId w:val="1"/>
        </w:numPr>
        <w:ind w:left="851" w:hanging="567"/>
        <w:jc w:val="both"/>
        <w:widowControl w:val="off"/>
        <w:tabs>
          <w:tab w:val="left" w:pos="284" w:leader="none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Обработка персональных данных необходима для защиты жизни, здоровья или иных жизненно важных интересов субъекта персональных данных, если получение согласия субъекта персональных данных невозможно;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2"/>
          <w:numId w:val="1"/>
        </w:numPr>
        <w:ind w:left="851" w:hanging="567"/>
        <w:jc w:val="both"/>
        <w:widowControl w:val="off"/>
        <w:tabs>
          <w:tab w:val="left" w:pos="284" w:leader="none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Обработка персональных данных необходима для осуществления прав и законных интересов Оператора или третьих лиц либо для достижения общественно значимых целей при условии, что при этом не нарушаются права и свободы субъекта персональных данных;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2"/>
          <w:numId w:val="1"/>
        </w:numPr>
        <w:ind w:left="851" w:hanging="567"/>
        <w:jc w:val="both"/>
        <w:widowControl w:val="off"/>
        <w:tabs>
          <w:tab w:val="left" w:pos="284" w:leader="none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Осуществляется обработка персональных данных, доступ неограниченного круга лиц к которым предоставлен субъектом персональных данных либо по его просьбе;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2"/>
          <w:numId w:val="1"/>
        </w:numPr>
        <w:ind w:left="851" w:hanging="567"/>
        <w:jc w:val="both"/>
        <w:widowControl w:val="off"/>
        <w:tabs>
          <w:tab w:val="left" w:pos="284" w:leader="none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Осуществляется обработка персональных данных, подлежащих опубликованию или обязательному </w:t>
      </w:r>
      <w:r>
        <w:rPr>
          <w:rFonts w:ascii="Times New Roman" w:hAnsi="Times New Roman" w:cs="Times New Roman"/>
          <w:sz w:val="20"/>
          <w:szCs w:val="20"/>
        </w:rPr>
        <w:t xml:space="preserve">раскрытию в соответствии с федеральным законом.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2"/>
          <w:numId w:val="1"/>
        </w:numPr>
        <w:ind w:left="851" w:hanging="567"/>
        <w:jc w:val="both"/>
        <w:widowControl w:val="off"/>
        <w:tabs>
          <w:tab w:val="left" w:pos="284" w:leader="none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В случае, если Оператор поручает обработку персональных данных другому лицу, ответственность перед субъектом персональных данных за действия указанного лица несет Оператор. Лицо, осуществляющее обработку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ind w:left="1080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rPr>
          <w:rFonts w:cs="Times New Roman"/>
          <w:sz w:val="22"/>
        </w:rPr>
      </w:pPr>
      <w:r>
        <w:rPr>
          <w:rFonts w:cs="Times New Roman"/>
          <w:sz w:val="22"/>
        </w:rPr>
      </w:r>
      <w:r>
        <w:rPr>
          <w:rFonts w:cs="Times New Roman"/>
          <w:sz w:val="22"/>
        </w:rPr>
      </w:r>
    </w:p>
    <w:p>
      <w:pPr>
        <w:pStyle w:val="707"/>
        <w:numPr>
          <w:ilvl w:val="0"/>
          <w:numId w:val="1"/>
        </w:numPr>
        <w:jc w:val="center"/>
        <w:widowControl w:val="off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 xml:space="preserve">Конфиденциальность персональных данных</w:t>
      </w:r>
      <w:r>
        <w:rPr>
          <w:rFonts w:ascii="Times New Roman" w:hAnsi="Times New Roman" w:cs="Times New Roman"/>
          <w:b/>
          <w:bCs/>
          <w:sz w:val="22"/>
        </w:rPr>
        <w:t xml:space="preserve">.</w:t>
      </w:r>
      <w:r>
        <w:rPr>
          <w:rFonts w:ascii="Times New Roman" w:hAnsi="Times New Roman" w:cs="Times New Roman"/>
          <w:b/>
          <w:bCs/>
          <w:sz w:val="22"/>
        </w:rPr>
      </w:r>
    </w:p>
    <w:p>
      <w:pPr>
        <w:jc w:val="both"/>
        <w:widowControl w:val="off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</w:r>
      <w:r>
        <w:rPr>
          <w:rFonts w:ascii="Times New Roman" w:hAnsi="Times New Roman" w:cs="Times New Roman"/>
          <w:sz w:val="22"/>
        </w:rPr>
      </w:r>
    </w:p>
    <w:p>
      <w:pPr>
        <w:numPr>
          <w:ilvl w:val="1"/>
          <w:numId w:val="1"/>
        </w:numPr>
        <w:ind w:left="851" w:hanging="567"/>
        <w:jc w:val="both"/>
        <w:widowControl w:val="off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Оператор и иные лица, получившие доступ к персональным данным, обязаны не раскрывать третьим лицам и не распространять персональные данные без согласия субъекта персональных данных, если иное не предусмотрено федеральным законом.</w:t>
      </w:r>
      <w:r>
        <w:rPr>
          <w:rFonts w:ascii="Times New Roman" w:hAnsi="Times New Roman" w:cs="Times New Roman"/>
          <w:sz w:val="22"/>
        </w:rPr>
      </w:r>
    </w:p>
    <w:p>
      <w:pPr>
        <w:ind w:left="1080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12"/>
        <w:numPr>
          <w:ilvl w:val="0"/>
          <w:numId w:val="1"/>
        </w:num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Цели и категории персональных данных, обрабатываемые Оператором.</w:t>
      </w:r>
      <w:r>
        <w:rPr>
          <w:b/>
          <w:bCs/>
          <w:sz w:val="20"/>
          <w:szCs w:val="20"/>
        </w:rPr>
        <w:br/>
      </w:r>
      <w:r>
        <w:rPr>
          <w:b/>
          <w:bCs/>
          <w:sz w:val="20"/>
          <w:szCs w:val="20"/>
        </w:rPr>
      </w:r>
    </w:p>
    <w:p>
      <w:pPr>
        <w:pStyle w:val="707"/>
        <w:numPr>
          <w:ilvl w:val="1"/>
          <w:numId w:val="1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2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Оператор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осуществляем полный комплекс действий с персональными данными, включая их сбор, запись, систематизацию, накопление, хранение, обновление и изменение, и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звлечение, использование, передачу, распространение, предоставление доступа, обезличивание, блокирование, удаление и уничтожение. Если возникает необходимость в распространении персональных данных, мы предварительно запрашиваем отдельное согласие субъекта.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2"/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1"/>
          <w:numId w:val="1"/>
        </w:numPr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2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Обработка персональных данных может осуществляться как с использованием автоматизированных средств, так и без их применения.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2"/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1"/>
          <w:numId w:val="1"/>
        </w:numPr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2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При передаче персональных данных третьим лицам 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Оператор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обеспечивае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т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принятие всех необходимых мер защиты, предусмотренных разделом 6 настоящей Политики. Перечень лиц, которым могут передаваться персональные данные, содержится в пункте 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11.1. 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настоящей 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Политики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2"/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1"/>
          <w:numId w:val="1"/>
        </w:numPr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2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Перечень целей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обработки персональных данных, соответствующих категори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й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субъектов и составе обрабатываемых данных.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tbl>
      <w:tblPr>
        <w:tblStyle w:val="719"/>
        <w:tblW w:w="0" w:type="auto"/>
        <w:tblLook w:val="04A0" w:firstRow="1" w:lastRow="0" w:firstColumn="1" w:lastColumn="0" w:noHBand="0" w:noVBand="1"/>
      </w:tblPr>
      <w:tblGrid>
        <w:gridCol w:w="421"/>
        <w:gridCol w:w="2976"/>
        <w:gridCol w:w="3611"/>
        <w:gridCol w:w="2337"/>
      </w:tblGrid>
      <w:tr>
        <w:tblPrEx/>
        <w:trPr/>
        <w:tc>
          <w:tcPr>
            <w:tcW w:w="421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t xml:space="preserve">№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tcW w:w="2976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t xml:space="preserve">Цели обработки 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t xml:space="preserve">ПДн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tcW w:w="3611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t xml:space="preserve">Перечень 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t xml:space="preserve">ПДн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tcW w:w="2337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t xml:space="preserve">Категории субъектов 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t xml:space="preserve">ПДн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tcW w:w="42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t xml:space="preserve">1.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Исполнение требований,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предусмотренных Трудовым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кодексом Российской Федерации, 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том числе: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привлечение и организация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отбора кандидатов на замещение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вакантных должностей;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формирование кадрового резерва,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выплата работникам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ООО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ЛотосПлюс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» заработной платы,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компенсаций, премий;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осуществление налоговых 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пенсионных отчислений;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организация воинского учета;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оформление справок;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-расчетов с подотчетными лицами;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предоставление работникам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ООО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ЛотосПлюс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» отпусков 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направление их в командировки,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бронирование номеров в гостинице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направляемым в командировку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работникам);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предоставление работникам 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членам их семей дополнительных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гарантий и компенсаций;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проведение различного рода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исследований и опросов персонала,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иных мероприятий, направленных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том числе на оценку уровня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удовлетворенности 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вовлеченности, а также внешнего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восприятия работодателя и 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практик;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развитие персонала (организация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 проведение образовательных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программ повышения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квалификации; программ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профессиональной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переподготовки; проведение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любых иных форм обучения,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направленных на развитие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персонала).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tcW w:w="3611" w:type="dxa"/>
            <w:textDirection w:val="lrTb"/>
            <w:noWrap w:val="false"/>
          </w:tcPr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фамилия, имя, отчество, предыдущая фамилия, имя, отчество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(в случае изменения);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год, месяц, число и место рождения;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 регистрации по месту жительства (пребывания);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 фактического проживания;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пол;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гражданство;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данные документа, удостоверяющего личность;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данные заграничного паспорта;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сведения о наличии водительских прав;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данные, содержащиеся в военном билете (удостоверении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гражданина, подлежащего призыву на военную службу),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категория годности к военной службе;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данные об образовании, профессии, специальности,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квалификации, опыте работы, стаже, повышении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квалификации и (или) профессиональной переподготовке,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наличие ученой степени;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сведения о наличии права на льготы, о государственных 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ведомственных наградах;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сведения о местах работы, продолжительности работы, 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переводах и других изменениях трудового договора 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причинах прекращения трудовых отношений;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сведения о лишении права занимать определенные должности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или заниматься определенной деятельностью;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данные о допуске к сведениям, составляющим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государственную тайну;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данные о семейном положении;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данные о членах семьи;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контактные номера телефонов;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идентификационный номер налогоплательщика (ИНН);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страховой номер индивидуального лицевого счета (СНИЛС);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данные полиса обязательного медицинского страхования;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данные полиса добровольного медицинского страхования;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tcW w:w="2337" w:type="dxa"/>
            <w:textDirection w:val="lrTb"/>
            <w:noWrap w:val="false"/>
          </w:tcPr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Кандидаты на вакантные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должности;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Работники;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Бывшие работники;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Родственники работников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</w:tc>
      </w:tr>
      <w:tr>
        <w:tblPrEx/>
        <w:trPr/>
        <w:tc>
          <w:tcPr>
            <w:tcW w:w="42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t xml:space="preserve">2.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Оказание услуг связи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tcW w:w="3611" w:type="dxa"/>
            <w:textDirection w:val="lrTb"/>
            <w:noWrap w:val="false"/>
          </w:tcPr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фамилия, имя, отчество;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год, месяц, число и место рождения;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 регистрации по месту жительства (пребывания);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 регистрации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юридического лица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 фактического проживания;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гражданство;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пол;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данные документа, удостоверяющего личность (в том числе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копия документа, удостоверяющего личность);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идентификационный номер налогоплательщика (ИНН);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 оказания услуги (адрес установки оконечного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оборудования);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информация об оказываемой услуге связи (в том числе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информация о договоре об оказании услуг связи,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информация, содержащаяся в иных документах,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формируемых в период оказания услуг связи);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сведения баз данных систем расчета за оказанные услуги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связи, в том числе о соединениях, трафике и платежах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абонента;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информация о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платежных реквизитах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 электронной почты;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абонентский номер;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уникальный псевдоним (никнейм);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cookie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файлы;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</w:tc>
        <w:tc>
          <w:tcPr>
            <w:tcW w:w="2337" w:type="dxa"/>
            <w:textDirection w:val="lrTb"/>
            <w:noWrap w:val="false"/>
          </w:tcPr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Абоненты - физические лица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 их представители, в том числе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потенциальные абоненты;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Пользователи оконечного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оборудования абонентов-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юридических лиц;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Представители абонентов 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юридических лиц;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tcW w:w="42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t xml:space="preserve">3.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Исполнение договора, стороной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которого, либо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выгодоприобретателем или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поручителем, по которому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является субъект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ПДн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, а также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заключение договора по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инициативе субъекта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ПДн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 или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договора, по которому субъект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ПДн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 будет являться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выгодоприобретателем или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поручителем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.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tcW w:w="361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фамилия, имя, отчество;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год, месяц, число и место рождения;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гражданство;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пол;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идентификационный номер налогоплательщика (ИНН);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данные документа, удостоверяющего личность (в том числе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копия документа, удостоверяющего личность);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адрес регистрации;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информация о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платежных реквизитах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адрес электронной почты;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номер мобильного и (или) рабочего телефонов.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tcW w:w="2337" w:type="dxa"/>
            <w:textDirection w:val="lrTb"/>
            <w:noWrap w:val="false"/>
          </w:tcPr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Работники;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Контрагенты;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Представители контрагентов;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Физические лица, с которыми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заключены договоры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гражданско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правового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характера.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</w:tr>
      <w:tr>
        <w:tblPrEx/>
        <w:trPr/>
        <w:tc>
          <w:tcPr>
            <w:tcW w:w="42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t xml:space="preserve">4.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tcW w:w="297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Обеспечение соблюдения законодательства РФ об оперативно-разыскной деятельности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.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tcW w:w="361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фамилия, имя, отчество;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год, месяц, число и место рождения;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гражданство;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пол;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идентификационный номер налогоплательщика (ИНН);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данные документа, удостоверяющего личность (в том числе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копия документа, удостоверяющего личность);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адрес регистрации;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адрес оказания услуги (адрес установки оконечного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оборудования);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информация об оказываемой услуге связи (в том числе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информация о договоре об оказании услуг связи,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информация, содержащаяся в иных документах,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формируемых в период оказания услуг связи);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tabs>
                <w:tab w:val="left" w:pos="560" w:leader="none"/>
                <w:tab w:val="left" w:pos="1120" w:leader="none"/>
                <w:tab w:val="left" w:pos="1680" w:leader="none"/>
                <w:tab w:val="left" w:pos="2240" w:leader="none"/>
                <w:tab w:val="left" w:pos="2800" w:leader="none"/>
                <w:tab w:val="left" w:pos="3360" w:leader="none"/>
                <w:tab w:val="left" w:pos="3920" w:leader="none"/>
                <w:tab w:val="left" w:pos="4480" w:leader="none"/>
                <w:tab w:val="left" w:pos="5040" w:leader="none"/>
                <w:tab w:val="left" w:pos="5600" w:leader="none"/>
                <w:tab w:val="left" w:pos="6160" w:leader="none"/>
                <w:tab w:val="left" w:pos="6720" w:leader="none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информация о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платежных реквизитах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адрес электронной почты;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</w:r>
          </w:p>
          <w:p>
            <w:pP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  <w14:ligatures w14:val="none"/>
              </w:rPr>
              <w:t xml:space="preserve">номер мобильного и (или) рабочего телефонов.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  <w:tc>
          <w:tcPr>
            <w:tcW w:w="233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  <w:outlineLvl w:val="2"/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  <w14:ligatures w14:val="none"/>
              </w:rPr>
            </w:r>
          </w:p>
        </w:tc>
      </w:tr>
    </w:tbl>
    <w:p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</w:r>
    </w:p>
    <w:p>
      <w:pPr>
        <w:pStyle w:val="707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</w:r>
    </w:p>
    <w:p>
      <w:pPr>
        <w:pStyle w:val="707"/>
        <w:numPr>
          <w:ilvl w:val="0"/>
          <w:numId w:val="1"/>
        </w:numPr>
        <w:jc w:val="center"/>
        <w:spacing w:before="100" w:beforeAutospacing="1" w:after="100" w:afterAutospacing="1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Хранение и уничтожение персональных данных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1"/>
          <w:numId w:val="1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2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Оператор хранит персональные данные столько времени, сколько требуетс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я для достижения целей их обработки, выполнения договорных обязательств, соблюдения требований законодательства или иных целей, указанных в разделе 3 настоящей Политики. После достижения указанных целей персональные данные подлежат безопасному уничтожению.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2"/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1"/>
          <w:numId w:val="1"/>
        </w:numPr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2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При установлении срока хранения персональных данных Оператор учитывает: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numPr>
          <w:ilvl w:val="0"/>
          <w:numId w:val="4"/>
        </w:numPr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объем, категорию и характер данных;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numPr>
          <w:ilvl w:val="0"/>
          <w:numId w:val="4"/>
        </w:numPr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степень чувствительности информации;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numPr>
          <w:ilvl w:val="0"/>
          <w:numId w:val="4"/>
        </w:numPr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потенциальные риски для субъекта персональных данных;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numPr>
          <w:ilvl w:val="0"/>
          <w:numId w:val="4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требования законодательства Российской Федерации;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numPr>
          <w:ilvl w:val="0"/>
          <w:numId w:val="4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условия заключенных договоров.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1"/>
          <w:numId w:val="1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Если иное не предусмо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трено законом или договором с субъектом персональных данных, данные, размещенные пользователем в личном кабинете, хранятся до момента существования учетной записи. Пользователь вправе удалить такие данные самостоятельно при наличии технической возможности.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1"/>
          <w:numId w:val="1"/>
        </w:numPr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Персональные данные подлежат уничтожению Оператором в следующих случаях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, когда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: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numPr>
          <w:ilvl w:val="0"/>
          <w:numId w:val="5"/>
        </w:numPr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достигнута цель их обработки;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numPr>
          <w:ilvl w:val="0"/>
          <w:numId w:val="5"/>
        </w:numPr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истек установленный законодательством или договором срок хранения;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numPr>
          <w:ilvl w:val="0"/>
          <w:numId w:val="5"/>
        </w:numPr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субъект персональных данных отозвал согласие, если согласие являлось основанием обработки;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numPr>
          <w:ilvl w:val="0"/>
          <w:numId w:val="5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выявлены факты неправомерной обработки данных;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numPr>
          <w:ilvl w:val="0"/>
          <w:numId w:val="5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данные были удалены субъектом персональных данных через функционал Ресурса (если применимо).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1"/>
          <w:numId w:val="1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Уничтожение персональных данных осуществляется Оператором в соответствии с установленной внутренней процедурой. Факт уничтожения фиксируется актом, содержащим сведения о способе, объеме и дате уничтожения данных.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1"/>
          <w:numId w:val="1"/>
        </w:numPr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Если функционал Ресурса предусматривает возможность самостоятельного удаления информации, субъект персональных данных вправе: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numPr>
          <w:ilvl w:val="0"/>
          <w:numId w:val="6"/>
        </w:numPr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удалить данные в личном кабинете;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numPr>
          <w:ilvl w:val="0"/>
          <w:numId w:val="6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направить запрос Оператору с требованием об уничтожении данных;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numPr>
          <w:ilvl w:val="0"/>
          <w:numId w:val="6"/>
        </w:numPr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воспользоваться иными инструментами, предусмотренными Ресурсом или законом.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0"/>
          <w:numId w:val="1"/>
        </w:numPr>
        <w:jc w:val="center"/>
        <w:spacing w:before="100" w:beforeAutospacing="1" w:after="100" w:afterAutospacing="1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Права субъекта персональных данных и порядок их 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реализации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numPr>
          <w:ilvl w:val="1"/>
          <w:numId w:val="1"/>
        </w:num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Субъект персональных данных имеет право на получение сведений, указанных в п. </w:t>
      </w:r>
      <w:r>
        <w:rPr>
          <w:rFonts w:ascii="Times New Roman" w:hAnsi="Times New Roman" w:cs="Times New Roman"/>
          <w:sz w:val="20"/>
          <w:szCs w:val="20"/>
        </w:rPr>
        <w:t xml:space="preserve">8</w:t>
      </w:r>
      <w:r>
        <w:rPr>
          <w:rFonts w:ascii="Times New Roman" w:hAnsi="Times New Roman" w:cs="Times New Roman"/>
          <w:sz w:val="20"/>
          <w:szCs w:val="20"/>
        </w:rPr>
        <w:t xml:space="preserve">.7 настояще</w:t>
      </w:r>
      <w:r>
        <w:rPr>
          <w:rFonts w:ascii="Times New Roman" w:hAnsi="Times New Roman" w:cs="Times New Roman"/>
          <w:sz w:val="20"/>
          <w:szCs w:val="20"/>
        </w:rPr>
        <w:t xml:space="preserve">й Политики, за исключением случаев, при которых доступ субъекта персональных данных к его персональным данным нарушает права и законные интересы третьих лиц. Субъект персональных данных вправе требовать от Оператора уточнения его персональных данных, их бл</w:t>
      </w:r>
      <w:r>
        <w:rPr>
          <w:rFonts w:ascii="Times New Roman" w:hAnsi="Times New Roman" w:cs="Times New Roman"/>
          <w:sz w:val="20"/>
          <w:szCs w:val="20"/>
        </w:rPr>
        <w:t xml:space="preserve">окирования или уничтожения в случае, если персональные данные являются неполными, устаревшими, неточными, незаконно полученными или не являются необходимыми для заявленной цели обработки, а также принимать предусмотренные законом меры по защите своих прав.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ind w:left="720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1"/>
          <w:numId w:val="1"/>
        </w:num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Сведения, указанные в п. </w:t>
      </w:r>
      <w:r>
        <w:rPr>
          <w:rFonts w:ascii="Times New Roman" w:hAnsi="Times New Roman" w:cs="Times New Roman"/>
          <w:sz w:val="20"/>
          <w:szCs w:val="20"/>
        </w:rPr>
        <w:t xml:space="preserve">8</w:t>
      </w:r>
      <w:r>
        <w:rPr>
          <w:rFonts w:ascii="Times New Roman" w:hAnsi="Times New Roman" w:cs="Times New Roman"/>
          <w:sz w:val="20"/>
          <w:szCs w:val="20"/>
        </w:rPr>
        <w:t xml:space="preserve">.7 настоящей Политики, должны быть предоставлены су</w:t>
      </w:r>
      <w:r>
        <w:rPr>
          <w:rFonts w:ascii="Times New Roman" w:hAnsi="Times New Roman" w:cs="Times New Roman"/>
          <w:sz w:val="20"/>
          <w:szCs w:val="20"/>
        </w:rPr>
        <w:t xml:space="preserve">бъекту персональных данных Оператором в доступной форме, и в них не должны содержаться персональные данные, относящиеся к другим субъектам персональных данных, за исключением случаев, если имеются законные основания для раскрытия таких персональных данных 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ind w:left="720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1"/>
          <w:numId w:val="1"/>
        </w:num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Сведения, указанные в п. </w:t>
      </w:r>
      <w:r>
        <w:rPr>
          <w:rFonts w:ascii="Times New Roman" w:hAnsi="Times New Roman" w:cs="Times New Roman"/>
          <w:sz w:val="20"/>
          <w:szCs w:val="20"/>
        </w:rPr>
        <w:t xml:space="preserve">8</w:t>
      </w:r>
      <w:r>
        <w:rPr>
          <w:rFonts w:ascii="Times New Roman" w:hAnsi="Times New Roman" w:cs="Times New Roman"/>
          <w:sz w:val="20"/>
          <w:szCs w:val="20"/>
        </w:rPr>
        <w:t xml:space="preserve">.7 настоящей политики, предоставляются субъекту персональных данных или его представителю</w:t>
      </w:r>
      <w:r>
        <w:rPr>
          <w:rFonts w:ascii="Times New Roman" w:hAnsi="Times New Roman" w:cs="Times New Roman"/>
          <w:sz w:val="20"/>
          <w:szCs w:val="20"/>
        </w:rPr>
        <w:t xml:space="preserve"> Оператором при обращении либо при получении запроса субъекта персональных данных или его представителя. Запрос должен содержать номер основного документа и выдавшем его органе, сведения, подтверждающие участие субъекта персональных данных в отношениях с о</w:t>
      </w:r>
      <w:r>
        <w:rPr>
          <w:rFonts w:ascii="Times New Roman" w:hAnsi="Times New Roman" w:cs="Times New Roman"/>
          <w:sz w:val="20"/>
          <w:szCs w:val="20"/>
        </w:rPr>
        <w:t xml:space="preserve">ператором (номер договора, дата заключения договора, условное словесное обозначение и (или) иные сведения), либо сведения, иным образом подтверждающие факт обработки персональных данных Оператором, подпись субъекта персональных данных или его представителя</w:t>
      </w:r>
      <w:r>
        <w:rPr>
          <w:rFonts w:ascii="Times New Roman" w:hAnsi="Times New Roman" w:cs="Times New Roman"/>
          <w:sz w:val="20"/>
          <w:szCs w:val="20"/>
        </w:rPr>
        <w:t xml:space="preserve">.</w:t>
      </w:r>
      <w:r>
        <w:rPr>
          <w:rFonts w:ascii="Times New Roman" w:hAnsi="Times New Roman" w:cs="Times New Roman"/>
          <w:sz w:val="20"/>
          <w:szCs w:val="20"/>
        </w:rPr>
        <w:t xml:space="preserve"> Запрос может быть направлен </w:t>
      </w:r>
      <w:r>
        <w:rPr>
          <w:rFonts w:ascii="Times New Roman" w:hAnsi="Times New Roman" w:cs="Times New Roman"/>
          <w:sz w:val="20"/>
          <w:szCs w:val="20"/>
        </w:rPr>
        <w:t xml:space="preserve">в </w:t>
      </w:r>
      <w:r>
        <w:rPr>
          <w:rFonts w:ascii="Times New Roman" w:hAnsi="Times New Roman" w:cs="Times New Roman"/>
          <w:sz w:val="20"/>
          <w:szCs w:val="20"/>
        </w:rPr>
        <w:t xml:space="preserve">по</w:t>
      </w:r>
      <w:r>
        <w:rPr>
          <w:rFonts w:ascii="Times New Roman" w:hAnsi="Times New Roman" w:cs="Times New Roman"/>
          <w:sz w:val="20"/>
          <w:szCs w:val="20"/>
        </w:rPr>
        <w:t xml:space="preserve"> контактам, указанным в разделе 1 настоящего </w:t>
      </w:r>
      <w:r>
        <w:rPr>
          <w:rFonts w:ascii="Times New Roman" w:hAnsi="Times New Roman" w:cs="Times New Roman"/>
          <w:sz w:val="20"/>
          <w:szCs w:val="20"/>
        </w:rPr>
        <w:t xml:space="preserve">Полжения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в соответствии с законодательством Российской Федерации</w:t>
      </w:r>
      <w:r>
        <w:rPr>
          <w:rFonts w:ascii="Times New Roman" w:hAnsi="Times New Roman" w:cs="Times New Roman"/>
          <w:sz w:val="20"/>
          <w:szCs w:val="20"/>
        </w:rPr>
        <w:t xml:space="preserve">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1"/>
          <w:numId w:val="1"/>
        </w:num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В случае, если сведения, указанные в п. </w:t>
      </w:r>
      <w:r>
        <w:rPr>
          <w:rFonts w:ascii="Times New Roman" w:hAnsi="Times New Roman" w:cs="Times New Roman"/>
          <w:sz w:val="20"/>
          <w:szCs w:val="20"/>
        </w:rPr>
        <w:t xml:space="preserve">8</w:t>
      </w:r>
      <w:r>
        <w:rPr>
          <w:rFonts w:ascii="Times New Roman" w:hAnsi="Times New Roman" w:cs="Times New Roman"/>
          <w:sz w:val="20"/>
          <w:szCs w:val="20"/>
        </w:rPr>
        <w:t xml:space="preserve">.7 настоящей Политики, а также обра</w:t>
      </w:r>
      <w:r>
        <w:rPr>
          <w:rFonts w:ascii="Times New Roman" w:hAnsi="Times New Roman" w:cs="Times New Roman"/>
          <w:sz w:val="20"/>
          <w:szCs w:val="20"/>
        </w:rPr>
        <w:t xml:space="preserve">батываемы персональные данные были предоставлены для ознакомления субъекту персональных данных по его запросу, субъект персональных данных вправе обратиться повторно к Оператору или направить ему повторный запрос в целях получения сведений, указанных в п. </w:t>
      </w:r>
      <w:r>
        <w:rPr>
          <w:rFonts w:ascii="Times New Roman" w:hAnsi="Times New Roman" w:cs="Times New Roman"/>
          <w:sz w:val="20"/>
          <w:szCs w:val="20"/>
        </w:rPr>
        <w:t xml:space="preserve">8</w:t>
      </w:r>
      <w:r>
        <w:rPr>
          <w:rFonts w:ascii="Times New Roman" w:hAnsi="Times New Roman" w:cs="Times New Roman"/>
          <w:sz w:val="20"/>
          <w:szCs w:val="20"/>
        </w:rPr>
        <w:t xml:space="preserve">.7 настоящего положения, и ознакомления с такими персональными данными не ранее чем через тридцать дней после первоначального обращения или направления первоначал</w:t>
      </w:r>
      <w:r>
        <w:rPr>
          <w:rFonts w:ascii="Times New Roman" w:hAnsi="Times New Roman" w:cs="Times New Roman"/>
          <w:sz w:val="20"/>
          <w:szCs w:val="20"/>
        </w:rPr>
        <w:t xml:space="preserve">ьного запроса, если более короткий срок не установлен федеральным законом, принятым в соответствии с ним нормативным правовым актом или договором, стороной которого либо выгодоприобретателем или поручителем по которому является субъект персональных данных.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1"/>
          <w:numId w:val="1"/>
        </w:num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Субъект персональных данных вправе обратиться повторно к Оператору или направить ему запрос в целях получения сведений, указанных в п. </w:t>
      </w:r>
      <w:r>
        <w:rPr>
          <w:rFonts w:ascii="Times New Roman" w:hAnsi="Times New Roman" w:cs="Times New Roman"/>
          <w:sz w:val="20"/>
          <w:szCs w:val="20"/>
        </w:rPr>
        <w:t xml:space="preserve">8</w:t>
      </w:r>
      <w:r>
        <w:rPr>
          <w:rFonts w:ascii="Times New Roman" w:hAnsi="Times New Roman" w:cs="Times New Roman"/>
          <w:sz w:val="20"/>
          <w:szCs w:val="20"/>
        </w:rPr>
        <w:t xml:space="preserve">.7 настоящей Политики, а также в целях ознакомления с обрабатываемыми персональными данными до истечения срока, указанного в п. 6.4 насто</w:t>
      </w:r>
      <w:r>
        <w:rPr>
          <w:rFonts w:ascii="Times New Roman" w:hAnsi="Times New Roman" w:cs="Times New Roman"/>
          <w:sz w:val="20"/>
          <w:szCs w:val="20"/>
        </w:rPr>
        <w:t xml:space="preserve">ящей Политики, в случае, если такие сведения и (или) обрабатываемы персональные данные не были предоставлены ему для ознакомления в полном объеме по результатам рассмотрения первоначального обращения. Повторный запрос наряду со сведениями, указанными в п. </w:t>
      </w:r>
      <w:r>
        <w:rPr>
          <w:rFonts w:ascii="Times New Roman" w:hAnsi="Times New Roman" w:cs="Times New Roman"/>
          <w:sz w:val="20"/>
          <w:szCs w:val="20"/>
        </w:rPr>
        <w:t xml:space="preserve">8</w:t>
      </w:r>
      <w:r>
        <w:rPr>
          <w:rFonts w:ascii="Times New Roman" w:hAnsi="Times New Roman" w:cs="Times New Roman"/>
          <w:sz w:val="20"/>
          <w:szCs w:val="20"/>
        </w:rPr>
        <w:t xml:space="preserve">.3 настоящей Политики, должен содержать основание направления повторного запроса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1"/>
          <w:numId w:val="1"/>
        </w:num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Оператор вправе отказать субъекту персональных данных в выполнении повторного запроса, несоответствующего условиям, предусмотренным п. </w:t>
      </w:r>
      <w:r>
        <w:rPr>
          <w:rFonts w:ascii="Times New Roman" w:hAnsi="Times New Roman" w:cs="Times New Roman"/>
          <w:sz w:val="20"/>
          <w:szCs w:val="20"/>
        </w:rPr>
        <w:t xml:space="preserve">8</w:t>
      </w:r>
      <w:r>
        <w:rPr>
          <w:rFonts w:ascii="Times New Roman" w:hAnsi="Times New Roman" w:cs="Times New Roman"/>
          <w:sz w:val="20"/>
          <w:szCs w:val="20"/>
        </w:rPr>
        <w:t xml:space="preserve">.3 и п. </w:t>
      </w:r>
      <w:r>
        <w:rPr>
          <w:rFonts w:ascii="Times New Roman" w:hAnsi="Times New Roman" w:cs="Times New Roman"/>
          <w:sz w:val="20"/>
          <w:szCs w:val="20"/>
        </w:rPr>
        <w:t xml:space="preserve">8</w:t>
      </w:r>
      <w:r>
        <w:rPr>
          <w:rFonts w:ascii="Times New Roman" w:hAnsi="Times New Roman" w:cs="Times New Roman"/>
          <w:sz w:val="20"/>
          <w:szCs w:val="20"/>
        </w:rPr>
        <w:t xml:space="preserve">.4. настоящей Политики. Такой отказ должен быть мотивированным. Обязанность предоставления доказательств обоснованности отказа в выполнении повторного запроса лежит на Операторе.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numPr>
          <w:ilvl w:val="1"/>
          <w:numId w:val="1"/>
        </w:numPr>
        <w:jc w:val="both"/>
        <w:spacing w:before="100" w:beforeAutospacing="1" w:after="100" w:afterAutospacing="1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pPr>
      <w:r>
        <w:rPr>
          <w:rFonts w:ascii="Times New Roman" w:hAnsi="Times New Roman" w:cs="Times New Roman"/>
          <w:sz w:val="20"/>
          <w:szCs w:val="20"/>
        </w:rPr>
        <w:t xml:space="preserve">Оператор обеспечивает реализацию прав субъекта персональных данных в объеме, предусмотренном законодательством Российской Федерации: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tbl>
      <w:tblPr>
        <w:tblW w:w="8789" w:type="dxa"/>
        <w:tblInd w:w="557" w:type="dxa"/>
        <w:tblLayout w:type="fixed"/>
        <w:tblLook w:val="06A0" w:firstRow="1" w:lastRow="0" w:firstColumn="1" w:lastColumn="0" w:noHBand="1" w:noVBand="1"/>
      </w:tblPr>
      <w:tblGrid>
        <w:gridCol w:w="4536"/>
        <w:gridCol w:w="4253"/>
      </w:tblGrid>
      <w:tr>
        <w:tblPrEx/>
        <w:trPr>
          <w:trHeight w:val="300"/>
        </w:trPr>
        <w:tc>
          <w:tcPr>
            <w:shd w:val="clear" w:color="auto" w:fill="deeaf6" w:themeFill="accent5" w:themeFillTint="3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tcW w:w="4536" w:type="dxa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Права субъекта ПД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</w:p>
        </w:tc>
        <w:tc>
          <w:tcPr>
            <w:shd w:val="clear" w:color="auto" w:fill="deeaf6" w:themeFill="accent5" w:themeFillTint="3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tcW w:w="4253" w:type="dxa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Порядок исполнения прав 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</w:p>
        </w:tc>
      </w:tr>
      <w:tr>
        <w:tblPrEx/>
        <w:trPr>
          <w:trHeight w:val="300"/>
        </w:trPr>
        <w:tc>
          <w:tcPr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tcW w:w="4536" w:type="dxa"/>
            <w:textDirection w:val="lrTb"/>
            <w:noWrap w:val="false"/>
          </w:tcPr>
          <w:p>
            <w:pPr>
              <w:jc w:val="both"/>
              <w:widowControl w:val="off"/>
              <w:tabs>
                <w:tab w:val="left" w:pos="459" w:leader="none"/>
                <w:tab w:val="left" w:pos="1026" w:leader="none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Субъект персональных данных имеет право на получение информации, касающейся обработки его персональных данных, в том числе содержащей: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jc w:val="both"/>
              <w:widowControl w:val="off"/>
              <w:tabs>
                <w:tab w:val="left" w:pos="459" w:leader="none"/>
                <w:tab w:val="left" w:pos="1026" w:leader="none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numPr>
                <w:ilvl w:val="2"/>
                <w:numId w:val="7"/>
              </w:numPr>
              <w:ind w:left="318" w:hanging="142"/>
              <w:jc w:val="both"/>
              <w:widowControl w:val="off"/>
              <w:tabs>
                <w:tab w:val="left" w:pos="318" w:leader="none"/>
                <w:tab w:val="left" w:pos="1026" w:leader="none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Подтверждение факта обработки персональных данных Оператором;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numPr>
                <w:ilvl w:val="2"/>
                <w:numId w:val="7"/>
              </w:numPr>
              <w:ind w:left="318" w:hanging="142"/>
              <w:jc w:val="both"/>
              <w:widowControl w:val="off"/>
              <w:tabs>
                <w:tab w:val="left" w:pos="318" w:leader="none"/>
                <w:tab w:val="left" w:pos="1026" w:leader="none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Правовые основания и цели обработки персональных данных;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numPr>
                <w:ilvl w:val="2"/>
                <w:numId w:val="7"/>
              </w:numPr>
              <w:ind w:left="318" w:hanging="142"/>
              <w:jc w:val="both"/>
              <w:widowControl w:val="off"/>
              <w:tabs>
                <w:tab w:val="left" w:pos="318" w:leader="none"/>
                <w:tab w:val="left" w:pos="1026" w:leader="none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Цели и применяемые Оператором способы обработки персональных данных;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numPr>
                <w:ilvl w:val="2"/>
                <w:numId w:val="7"/>
              </w:numPr>
              <w:ind w:left="318" w:hanging="142"/>
              <w:jc w:val="both"/>
              <w:widowControl w:val="off"/>
              <w:tabs>
                <w:tab w:val="left" w:pos="318" w:leader="none"/>
                <w:tab w:val="left" w:pos="1026" w:leader="none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ие и место нахождения Оператора, сведения о лицах (за исключением работников Оператора), которые имеют доступ к персональным данным или которые могут быть раскрыты персональные данные на основании договора с Оператором или на основании федерального закона;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numPr>
                <w:ilvl w:val="2"/>
                <w:numId w:val="7"/>
              </w:numPr>
              <w:ind w:left="318" w:hanging="142"/>
              <w:jc w:val="both"/>
              <w:widowControl w:val="off"/>
              <w:tabs>
                <w:tab w:val="left" w:pos="459" w:leader="none"/>
                <w:tab w:val="left" w:pos="1026" w:leader="none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Обрабатываемые персональные данные, относящиеся к соответствующему субъекту персональных данных, источник их получения, если иной порядок предоставления таких данных не предусмотрен федеральным законом;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numPr>
                <w:ilvl w:val="2"/>
                <w:numId w:val="7"/>
              </w:numPr>
              <w:ind w:left="318" w:hanging="142"/>
              <w:jc w:val="both"/>
              <w:widowControl w:val="off"/>
              <w:tabs>
                <w:tab w:val="left" w:pos="459" w:leader="none"/>
                <w:tab w:val="left" w:pos="1026" w:leader="none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Сроки обработки персональных данных, в том числе сроки их хранения;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numPr>
                <w:ilvl w:val="2"/>
                <w:numId w:val="7"/>
              </w:numPr>
              <w:ind w:left="318" w:hanging="142"/>
              <w:jc w:val="both"/>
              <w:widowControl w:val="off"/>
              <w:tabs>
                <w:tab w:val="left" w:pos="459" w:leader="none"/>
                <w:tab w:val="left" w:pos="1026" w:leader="none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Порядок осуществления субъектом персональных данных прав, предусмотренных Федеральным законом «О персональных данных»;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numPr>
                <w:ilvl w:val="2"/>
                <w:numId w:val="7"/>
              </w:numPr>
              <w:ind w:left="318" w:hanging="142"/>
              <w:jc w:val="both"/>
              <w:widowControl w:val="off"/>
              <w:tabs>
                <w:tab w:val="left" w:pos="459" w:leader="none"/>
                <w:tab w:val="left" w:pos="1026" w:leader="none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Информацию об осуществленной или о предполагаемой трансграничной передаче данных;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numPr>
                <w:ilvl w:val="2"/>
                <w:numId w:val="7"/>
              </w:numPr>
              <w:ind w:left="318" w:hanging="142"/>
              <w:jc w:val="both"/>
              <w:widowControl w:val="off"/>
              <w:tabs>
                <w:tab w:val="left" w:pos="176" w:leader="none"/>
                <w:tab w:val="left" w:pos="459" w:leader="none"/>
                <w:tab w:val="left" w:pos="1026" w:leader="none"/>
              </w:tabs>
              <w:rPr>
                <w:rFonts w:cs="Times New Roman"/>
                <w:sz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или имя, фамилию, отчество и адрес лица, осуществляющего обработку персональных данных по поручению Оператора, если обработка поручена или будет поручена такому лицу.</w:t>
            </w:r>
            <w:r>
              <w:rPr>
                <w:rFonts w:cs="Times New Roman"/>
                <w:sz w:val="22"/>
              </w:rPr>
            </w:r>
          </w:p>
        </w:tc>
        <w:tc>
          <w:tcPr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tcW w:w="4253" w:type="dxa"/>
            <w:textDirection w:val="lrTb"/>
            <w:noWrap w:val="false"/>
          </w:tcPr>
          <w:p>
            <w:pPr>
              <w:pStyle w:val="712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Основная информация изложена в настоящей Политике.</w:t>
            </w:r>
            <w:r>
              <w:rPr>
                <w:sz w:val="20"/>
                <w:szCs w:val="20"/>
              </w:rPr>
            </w:r>
          </w:p>
          <w:p>
            <w:pPr>
              <w:pStyle w:val="712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Дополнительные сведения могут быть предоставлены по запросу, направленному по каналам связи, указанным в разделе 1</w:t>
            </w:r>
            <w:r>
              <w:rPr>
                <w:sz w:val="20"/>
                <w:szCs w:val="20"/>
              </w:rPr>
              <w:t xml:space="preserve"> настоящей </w:t>
            </w:r>
            <w:r>
              <w:rPr>
                <w:sz w:val="20"/>
                <w:szCs w:val="20"/>
              </w:rPr>
              <w:t xml:space="preserve">Политики</w:t>
            </w:r>
            <w:r>
              <w:rPr>
                <w:sz w:val="20"/>
                <w:szCs w:val="20"/>
              </w:rPr>
              <w:t xml:space="preserve">.</w:t>
            </w:r>
            <w:r>
              <w:rPr>
                <w:sz w:val="20"/>
                <w:szCs w:val="20"/>
              </w:rPr>
            </w:r>
          </w:p>
          <w:p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</w:tr>
      <w:tr>
        <w:tblPrEx/>
        <w:trPr>
          <w:trHeight w:val="300"/>
        </w:trPr>
        <w:tc>
          <w:tcPr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tcW w:w="453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Запрашивать изменения и дополнения своих персональных данных.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tcW w:w="4253" w:type="dxa"/>
            <w:textDirection w:val="lrTb"/>
            <w:noWrap w:val="false"/>
          </w:tcPr>
          <w:p>
            <w:pPr>
              <w:pStyle w:val="7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Дополнительные сведения могут быть получены по запросу, направленному по каналам связи, указанным в разделе 1</w:t>
            </w:r>
            <w:r>
              <w:rPr>
                <w:sz w:val="20"/>
                <w:szCs w:val="20"/>
              </w:rPr>
              <w:t xml:space="preserve"> настоящей Политики.</w:t>
            </w:r>
            <w:r>
              <w:rPr>
                <w:sz w:val="20"/>
                <w:szCs w:val="20"/>
              </w:rPr>
            </w:r>
          </w:p>
        </w:tc>
      </w:tr>
      <w:tr>
        <w:tblPrEx/>
        <w:trPr>
          <w:trHeight w:val="2580"/>
        </w:trPr>
        <w:tc>
          <w:tcPr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tcW w:w="453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Отозвать согласие на обработку персональных данных.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tcW w:w="4253" w:type="dxa"/>
            <w:textDirection w:val="lrTb"/>
            <w:noWrap w:val="false"/>
          </w:tcPr>
          <w:p>
            <w:pPr>
              <w:pStyle w:val="712"/>
              <w:jc w:val="both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Отправить запрос на отзыв согласия на обработку персональных данных Субъект может по каналам связи, указанным в разделе 1 настоящей Политики.</w:t>
            </w:r>
            <w:r>
              <w:rPr>
                <w:sz w:val="20"/>
                <w:szCs w:val="20"/>
              </w:rPr>
            </w:r>
          </w:p>
          <w:p>
            <w:pPr>
              <w:pStyle w:val="714"/>
              <w:jc w:val="both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  <w:p>
            <w:pPr>
              <w:pStyle w:val="712"/>
              <w:jc w:val="both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Право на отзыв согласия распространяется на все цели обработки и все персональные данные, обработка которых осуществляется на основании согласия Субъекта.</w:t>
            </w:r>
            <w:r>
              <w:rPr>
                <w:sz w:val="20"/>
                <w:szCs w:val="20"/>
              </w:rPr>
            </w:r>
          </w:p>
          <w:p>
            <w:pPr>
              <w:pStyle w:val="714"/>
              <w:jc w:val="both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  <w:p>
            <w:pPr>
              <w:pStyle w:val="712"/>
              <w:jc w:val="both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После получения заявления об отзыве согласия Оператор в установленные сроки прекращает </w:t>
            </w:r>
            <w:r>
              <w:rPr>
                <w:sz w:val="20"/>
                <w:szCs w:val="20"/>
              </w:rPr>
              <w:t xml:space="preserve">обработку соответствующих данных и обеспечивает их уничтожение.</w:t>
            </w:r>
            <w:r>
              <w:rPr>
                <w:sz w:val="20"/>
                <w:szCs w:val="20"/>
              </w:rPr>
            </w:r>
          </w:p>
        </w:tc>
      </w:tr>
      <w:tr>
        <w:tblPrEx/>
        <w:trPr>
          <w:trHeight w:val="300"/>
        </w:trPr>
        <w:tc>
          <w:tcPr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tcW w:w="453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Запрашивать блокирования своих персональных данных.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tcW w:w="4253" w:type="dxa"/>
            <w:textDirection w:val="lrTb"/>
            <w:noWrap w:val="false"/>
          </w:tcPr>
          <w:p>
            <w:pPr>
              <w:pStyle w:val="71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случае выявления нарушений при сборе или обработке персональных данных Субъекта, а также при обнаружении неточных или неполных данных, Оператор осуществляет блокирование соответствующих персональных данных.</w:t>
            </w:r>
            <w:r>
              <w:rPr>
                <w:sz w:val="20"/>
                <w:szCs w:val="20"/>
              </w:rPr>
            </w:r>
          </w:p>
          <w:p>
            <w:pPr>
              <w:pStyle w:val="71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Запрос на блокирование персональных данных может быть направлен по каналам связи, указанным в разделе 1 настоящей Политики.</w:t>
            </w:r>
            <w:r>
              <w:rPr>
                <w:sz w:val="20"/>
                <w:szCs w:val="20"/>
              </w:rPr>
            </w:r>
          </w:p>
        </w:tc>
      </w:tr>
      <w:tr>
        <w:tblPrEx/>
        <w:trPr>
          <w:trHeight w:val="300"/>
        </w:trPr>
        <w:tc>
          <w:tcPr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tcW w:w="453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Запрашивать уничтожения своих персональных данных.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tcW w:w="4253" w:type="dxa"/>
            <w:textDirection w:val="lrTb"/>
            <w:noWrap w:val="false"/>
          </w:tcPr>
          <w:p>
            <w:pPr>
              <w:pStyle w:val="71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случае достижен</w:t>
            </w:r>
            <w:r>
              <w:rPr>
                <w:sz w:val="20"/>
                <w:szCs w:val="20"/>
              </w:rPr>
              <w:t xml:space="preserve">ия целей обработки персональных данных, истечения установленного срока их хранения, отзыва Субъектом согласия либо выявления факта их обработки с нарушением законодательства Российской Федерации, Оператор обеспечивает уничтожение таких персональных данных.</w:t>
            </w:r>
            <w:r>
              <w:rPr>
                <w:sz w:val="20"/>
                <w:szCs w:val="20"/>
              </w:rPr>
            </w:r>
          </w:p>
          <w:p>
            <w:pPr>
              <w:pStyle w:val="712"/>
              <w:jc w:val="both"/>
            </w:pPr>
            <w:r>
              <w:rPr>
                <w:sz w:val="20"/>
                <w:szCs w:val="20"/>
              </w:rPr>
              <w:t xml:space="preserve">Запрос на уничтожение персональных данных может быть направлен по каналам связи, указанным в разделе 1 настоящей Политики.</w:t>
            </w:r>
            <w:r/>
          </w:p>
        </w:tc>
      </w:tr>
      <w:tr>
        <w:tblPrEx/>
        <w:trPr>
          <w:trHeight w:val="300"/>
        </w:trPr>
        <w:tc>
          <w:tcPr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tcW w:w="453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Защищать свои права и законные интересы в судебном или внесудебном порядке.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tcW w:w="4253" w:type="dxa"/>
            <w:textDirection w:val="lrTb"/>
            <w:noWrap w:val="false"/>
          </w:tcPr>
          <w:p>
            <w:pPr>
              <w:pStyle w:val="712"/>
              <w:jc w:val="both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Оператор принимает необходимые меры для защиты прав и законных интересов Субъекта, руководствуясь результатами анализа рисков, требованиями законодательства и применимыми лучшими практиками.</w:t>
            </w:r>
            <w:r>
              <w:rPr>
                <w:sz w:val="20"/>
                <w:szCs w:val="20"/>
              </w:rPr>
            </w:r>
          </w:p>
          <w:p>
            <w:pPr>
              <w:pStyle w:val="712"/>
              <w:jc w:val="both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Если Субъект полагает, что действиями или бездействием Оператора нарушены его права или свободы, он вправе:</w:t>
            </w:r>
            <w:r>
              <w:rPr>
                <w:sz w:val="20"/>
                <w:szCs w:val="20"/>
              </w:rPr>
            </w:r>
          </w:p>
          <w:p>
            <w:pPr>
              <w:pStyle w:val="712"/>
              <w:numPr>
                <w:ilvl w:val="0"/>
                <w:numId w:val="8"/>
              </w:numPr>
              <w:jc w:val="both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обратиться к Оператору с претензией;</w:t>
            </w:r>
            <w:r>
              <w:rPr>
                <w:sz w:val="20"/>
                <w:szCs w:val="20"/>
              </w:rPr>
            </w:r>
          </w:p>
          <w:p>
            <w:pPr>
              <w:pStyle w:val="712"/>
              <w:numPr>
                <w:ilvl w:val="0"/>
                <w:numId w:val="8"/>
              </w:numPr>
              <w:jc w:val="both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подать жалобу в компетентный государственный орган.</w:t>
            </w:r>
            <w:r>
              <w:rPr>
                <w:sz w:val="20"/>
                <w:szCs w:val="20"/>
              </w:rPr>
            </w:r>
          </w:p>
        </w:tc>
      </w:tr>
    </w:tbl>
    <w:p>
      <w:pPr>
        <w:pStyle w:val="712"/>
        <w:ind w:left="851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</w:r>
    </w:p>
    <w:p>
      <w:pPr>
        <w:pStyle w:val="712"/>
        <w:numPr>
          <w:ilvl w:val="1"/>
          <w:numId w:val="1"/>
        </w:numPr>
        <w:ind w:left="851" w:hanging="425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 xml:space="preserve">Оператор не осуществляет обработку персональных данных лиц, не достигших 18 лет, и не собирает такие данные умышленно.</w:t>
      </w:r>
      <w:r>
        <w:rPr>
          <w:sz w:val="20"/>
          <w:szCs w:val="20"/>
        </w:rPr>
      </w:r>
    </w:p>
    <w:p>
      <w:pPr>
        <w:pStyle w:val="712"/>
        <w:ind w:left="851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</w:r>
    </w:p>
    <w:p>
      <w:pPr>
        <w:pStyle w:val="712"/>
        <w:numPr>
          <w:ilvl w:val="1"/>
          <w:numId w:val="1"/>
        </w:numPr>
        <w:ind w:left="851" w:hanging="425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 xml:space="preserve">Оператор не принимает решений, затрагивающих права и законные интересы субъекта персональных данных, исключительно на основании автоматизированной обработки персональных данных.</w:t>
      </w:r>
      <w:r>
        <w:rPr>
          <w:sz w:val="20"/>
          <w:szCs w:val="20"/>
        </w:rPr>
      </w:r>
    </w:p>
    <w:p>
      <w:pPr>
        <w:pStyle w:val="707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</w:r>
    </w:p>
    <w:p>
      <w:pPr>
        <w:pStyle w:val="707"/>
        <w:numPr>
          <w:ilvl w:val="0"/>
          <w:numId w:val="1"/>
        </w:numPr>
        <w:jc w:val="center"/>
        <w:widowControl w:val="off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Обязанности Оператора при сборе персональных данных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</w:t>
      </w:r>
      <w:r>
        <w:rPr>
          <w:rFonts w:ascii="Times New Roman" w:hAnsi="Times New Roman" w:cs="Times New Roman"/>
          <w:b/>
          <w:bCs/>
          <w:sz w:val="20"/>
          <w:szCs w:val="20"/>
        </w:rPr>
      </w:r>
    </w:p>
    <w:p>
      <w:pPr>
        <w:pStyle w:val="707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numPr>
          <w:ilvl w:val="1"/>
          <w:numId w:val="1"/>
        </w:num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При сборе персональных данных Оператор обязан предоставить субъекту персональных данных по его просьбе информацию, предусмотренную частью </w:t>
      </w:r>
      <w:r>
        <w:rPr>
          <w:rFonts w:ascii="Times New Roman" w:hAnsi="Times New Roman" w:cs="Times New Roman"/>
          <w:sz w:val="20"/>
          <w:szCs w:val="20"/>
        </w:rPr>
        <w:t xml:space="preserve">8</w:t>
      </w:r>
      <w:r>
        <w:rPr>
          <w:rFonts w:ascii="Times New Roman" w:hAnsi="Times New Roman" w:cs="Times New Roman"/>
          <w:sz w:val="20"/>
          <w:szCs w:val="20"/>
        </w:rPr>
        <w:t xml:space="preserve">.7 настоящей Политики.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numPr>
          <w:ilvl w:val="1"/>
          <w:numId w:val="1"/>
        </w:num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Если предоставление персональных данных является обязательным в соответствии с федеральным законом, Оператор обязан разъяснить субъекту персональных данных юридические последствия отказа предоставить его персональные данные.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numPr>
          <w:ilvl w:val="1"/>
          <w:numId w:val="1"/>
        </w:num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Если персональные данные получены не от субъекта персональных данных, Оператор, за исключением случаев, предусмотренных п. </w:t>
      </w:r>
      <w:r>
        <w:rPr>
          <w:rFonts w:ascii="Times New Roman" w:hAnsi="Times New Roman" w:cs="Times New Roman"/>
          <w:sz w:val="20"/>
          <w:szCs w:val="20"/>
        </w:rPr>
        <w:t xml:space="preserve">9</w:t>
      </w:r>
      <w:r>
        <w:rPr>
          <w:rFonts w:ascii="Times New Roman" w:hAnsi="Times New Roman" w:cs="Times New Roman"/>
          <w:sz w:val="20"/>
          <w:szCs w:val="20"/>
        </w:rPr>
        <w:t xml:space="preserve">.4 настоящей Политики, до начала обработки таких персональных данных обязан предоставить субъекту персональных данных следующую информацию: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2"/>
          <w:numId w:val="1"/>
        </w:numPr>
        <w:ind w:left="-426" w:firstLine="426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Наименование либо фамилия, имя, отчество и адрес Оператора или его представителя;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2"/>
          <w:numId w:val="1"/>
        </w:numPr>
        <w:ind w:left="-426" w:firstLine="426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Цель обработки персональных данных и ее правовое основание;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2"/>
          <w:numId w:val="1"/>
        </w:numPr>
        <w:ind w:left="-426" w:firstLine="426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Предполагаемые пользователи персональных данных;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2"/>
          <w:numId w:val="1"/>
        </w:numPr>
        <w:ind w:left="-426" w:firstLine="426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Установленные настоящим Федеральным законом права субъекта персональных данных;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numPr>
          <w:ilvl w:val="2"/>
          <w:numId w:val="1"/>
        </w:numPr>
        <w:ind w:left="-426" w:firstLine="426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Источник получения персональных данных.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numPr>
          <w:ilvl w:val="1"/>
          <w:numId w:val="1"/>
        </w:numPr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Оператор освобождается от обязанности предоставить субъекту персональных данных сведения, предусмотренные п. </w:t>
      </w:r>
      <w:r>
        <w:rPr>
          <w:rFonts w:ascii="Times New Roman" w:hAnsi="Times New Roman" w:cs="Times New Roman"/>
          <w:sz w:val="20"/>
          <w:szCs w:val="20"/>
        </w:rPr>
        <w:t xml:space="preserve">9</w:t>
      </w:r>
      <w:r>
        <w:rPr>
          <w:rFonts w:ascii="Times New Roman" w:hAnsi="Times New Roman" w:cs="Times New Roman"/>
          <w:sz w:val="20"/>
          <w:szCs w:val="20"/>
        </w:rPr>
        <w:t xml:space="preserve">.3 настоящего Положения, в случаях, если: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Субъект персональных данных уведомлен об осуществлении обработки его персональных данных Оператором;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Персональные данные получены Оператором на основании федерального закона или в связи с исполнением договора, стороной которого либо выгодоприобретателем или поручителем, по которому является субъект персональных данных;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Персональные данные сделаны общедоступными субъектом персональных данных или получены из общедоступного источника;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widowControl w:val="off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Предоставление субъекту персональных данных сведений, предусмотренных частью </w:t>
      </w:r>
      <w:r>
        <w:rPr>
          <w:rFonts w:ascii="Times New Roman" w:hAnsi="Times New Roman" w:cs="Times New Roman"/>
          <w:sz w:val="20"/>
          <w:szCs w:val="20"/>
        </w:rPr>
        <w:t xml:space="preserve">9</w:t>
      </w:r>
      <w:r>
        <w:rPr>
          <w:rFonts w:ascii="Times New Roman" w:hAnsi="Times New Roman" w:cs="Times New Roman"/>
          <w:sz w:val="20"/>
          <w:szCs w:val="20"/>
        </w:rPr>
        <w:t xml:space="preserve">.3 настоящей Политики, нарушает права и законные интересы третьих лиц.</w:t>
      </w:r>
      <w:r>
        <w:rPr>
          <w:rFonts w:ascii="Times New Roman" w:hAnsi="Times New Roman" w:cs="Times New Roman"/>
          <w:sz w:val="20"/>
          <w:szCs w:val="20"/>
        </w:rPr>
      </w:r>
    </w:p>
    <w:p>
      <w:pPr>
        <w:pStyle w:val="712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</w:r>
    </w:p>
    <w:p>
      <w:pPr>
        <w:numPr>
          <w:ilvl w:val="0"/>
          <w:numId w:val="1"/>
        </w:numPr>
        <w:jc w:val="center"/>
        <w:widowControl w:val="off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Меры направленные на обеспечение выполнения Оператором обязанностей, предусмотренных Федеральным законом «О персональных данных»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t xml:space="preserve">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br/>
      </w:r>
      <w:r>
        <w:rPr>
          <w:rFonts w:ascii="Times New Roman" w:hAnsi="Times New Roman" w:cs="Times New Roman"/>
          <w:b/>
          <w:bCs/>
          <w:sz w:val="20"/>
          <w:szCs w:val="20"/>
        </w:rPr>
      </w:r>
    </w:p>
    <w:p>
      <w:pPr>
        <w:pStyle w:val="712"/>
        <w:numPr>
          <w:ilvl w:val="1"/>
          <w:numId w:val="1"/>
        </w:numPr>
        <w:ind w:hanging="720"/>
        <w:jc w:val="both"/>
        <w:spacing w:before="0" w:beforeAutospacing="0" w:after="0" w:afterAutospacing="0"/>
        <w:tabs>
          <w:tab w:val="left" w:pos="142" w:leader="none"/>
        </w:tabs>
        <w:rPr>
          <w:sz w:val="20"/>
          <w:szCs w:val="20"/>
        </w:rPr>
      </w:pPr>
      <w:r>
        <w:rPr>
          <w:sz w:val="20"/>
          <w:szCs w:val="20"/>
        </w:rPr>
        <w:t xml:space="preserve">Оператор принимает необходимые организационные и технические меры для защиты персональных данных,</w:t>
      </w:r>
      <w:r>
        <w:rPr>
          <w:sz w:val="20"/>
          <w:szCs w:val="20"/>
        </w:rPr>
        <w:t xml:space="preserve"> указанных в поданных Оператором сведениях при регистрации в качестве оператора персональных данных,</w:t>
      </w:r>
      <w:r>
        <w:rPr>
          <w:sz w:val="20"/>
          <w:szCs w:val="20"/>
        </w:rPr>
        <w:t xml:space="preserve"> от несанкционированного доступа, вмешательства, изменения, блокирования, </w:t>
      </w:r>
      <w:r>
        <w:rPr>
          <w:sz w:val="20"/>
          <w:szCs w:val="20"/>
        </w:rPr>
        <w:t xml:space="preserve">копирования, распространения, уничтожения, а также иных неправомерных действий.</w:t>
      </w:r>
      <w:r>
        <w:rPr>
          <w:sz w:val="20"/>
          <w:szCs w:val="20"/>
        </w:rPr>
      </w:r>
    </w:p>
    <w:p>
      <w:pPr>
        <w:pStyle w:val="712"/>
        <w:ind w:left="720" w:hanging="720"/>
        <w:jc w:val="both"/>
        <w:spacing w:before="0" w:beforeAutospacing="0" w:after="0" w:afterAutospacing="0"/>
        <w:tabs>
          <w:tab w:val="left" w:pos="142" w:leader="none"/>
        </w:tabs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</w:r>
    </w:p>
    <w:p>
      <w:pPr>
        <w:pStyle w:val="707"/>
        <w:numPr>
          <w:ilvl w:val="1"/>
          <w:numId w:val="1"/>
        </w:numPr>
        <w:ind w:hanging="720"/>
        <w:jc w:val="both"/>
        <w:tabs>
          <w:tab w:val="left" w:pos="142" w:leader="none"/>
        </w:tabs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cs="Times New Roman"/>
          <w:sz w:val="20"/>
          <w:szCs w:val="20"/>
        </w:rPr>
        <w:t xml:space="preserve">Персональные </w:t>
      </w:r>
      <w:r>
        <w:rPr>
          <w:rFonts w:ascii="Times New Roman" w:hAnsi="Times New Roman" w:cs="Times New Roman"/>
          <w:sz w:val="20"/>
          <w:szCs w:val="20"/>
        </w:rPr>
        <w:t xml:space="preserve">данные обрабатываются таким образом, чтобы исключить доступ к ним лиц, не имеющих соответствующих полномочий. Доступ сотрудников Оператора к персональным данным предоставляется только в объеме, необходимом для выполнения ими своих должностных обязанностей.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1"/>
          <w:numId w:val="1"/>
        </w:numPr>
        <w:ind w:left="426"/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cs="Times New Roman"/>
          <w:sz w:val="20"/>
          <w:szCs w:val="20"/>
        </w:rPr>
        <w:t xml:space="preserve">Оператор реализует следующие организационные меры: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cs="Times New Roman"/>
          <w:sz w:val="20"/>
          <w:szCs w:val="20"/>
        </w:rPr>
        <w:t xml:space="preserve">Назначен ответственный за организацию обработки персональных данных (Приказ №4 </w:t>
      </w:r>
      <w:r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от 01.11.2025 г.).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cs="Times New Roman"/>
          <w:sz w:val="20"/>
          <w:szCs w:val="20"/>
        </w:rPr>
        <w:t xml:space="preserve">Утверждены документы, определяющие политику оператора в отношении обработки персональных данных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(Положение об обработке ПД, приказы о назначении ответственного, об утверждении политики, о допуске к обработке ПД).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cs="Times New Roman"/>
          <w:sz w:val="20"/>
          <w:szCs w:val="20"/>
        </w:rPr>
        <w:t xml:space="preserve">Разграничены права доступа к материальным носителям персональных данных.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cs="Times New Roman"/>
          <w:sz w:val="20"/>
          <w:szCs w:val="20"/>
        </w:rPr>
        <w:t xml:space="preserve">Организована охрана помещений, предназначенных для хранения материальных носителей персональных данных.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cs="Times New Roman"/>
          <w:sz w:val="20"/>
          <w:szCs w:val="20"/>
        </w:rPr>
        <w:t xml:space="preserve">Осуществляется внутренний контроль и аудит соответствия обработки персональных данных требованиям законодательства и локальных актов оператора.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cs="Times New Roman"/>
          <w:sz w:val="20"/>
          <w:szCs w:val="20"/>
        </w:rPr>
        <w:t xml:space="preserve">Работники, непосредственно осуществляющие обработку персональных данных, ознакомлены с законодательством о ПД и локальными актами оператора.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cs="Times New Roman"/>
          <w:sz w:val="20"/>
          <w:szCs w:val="20"/>
        </w:rPr>
        <w:t xml:space="preserve">Определены угрозы безопасности персональных данных при их обработке в информационных системах персональных данных.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cs="Times New Roman"/>
          <w:sz w:val="20"/>
          <w:szCs w:val="20"/>
        </w:rPr>
        <w:t xml:space="preserve">Установлены правила доступа к персональным данным, обрабатываемым в информационной системе персональных данных.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07"/>
        <w:ind w:left="709"/>
        <w:jc w:val="both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  <w14:ligatures w14:val="none"/>
        </w:rPr>
      </w:r>
    </w:p>
    <w:p>
      <w:pPr>
        <w:pStyle w:val="712"/>
        <w:numPr>
          <w:ilvl w:val="1"/>
          <w:numId w:val="1"/>
        </w:numPr>
        <w:ind w:left="709" w:hanging="709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 xml:space="preserve">Оператор </w:t>
      </w:r>
      <w:r>
        <w:rPr>
          <w:sz w:val="20"/>
          <w:szCs w:val="20"/>
        </w:rPr>
        <w:t xml:space="preserve">реализует следующие </w:t>
      </w:r>
      <w:r>
        <w:rPr>
          <w:sz w:val="20"/>
          <w:szCs w:val="20"/>
        </w:rPr>
        <w:t xml:space="preserve">технические</w:t>
      </w:r>
      <w:r>
        <w:rPr>
          <w:sz w:val="20"/>
          <w:szCs w:val="20"/>
        </w:rPr>
        <w:t xml:space="preserve"> меры</w:t>
      </w:r>
      <w:r>
        <w:rPr>
          <w:sz w:val="20"/>
          <w:szCs w:val="20"/>
        </w:rPr>
        <w:t xml:space="preserve">:</w:t>
      </w:r>
      <w:r>
        <w:rPr>
          <w:sz w:val="20"/>
          <w:szCs w:val="20"/>
        </w:rPr>
      </w:r>
    </w:p>
    <w:p>
      <w:pPr>
        <w:pStyle w:val="712"/>
        <w:numPr>
          <w:ilvl w:val="2"/>
          <w:numId w:val="1"/>
        </w:numPr>
        <w:ind w:left="709" w:hanging="709"/>
        <w:rPr>
          <w:sz w:val="20"/>
          <w:szCs w:val="20"/>
        </w:rPr>
      </w:pPr>
      <w:r>
        <w:rPr>
          <w:sz w:val="20"/>
          <w:szCs w:val="20"/>
        </w:rPr>
        <w:t xml:space="preserve">Ведется учет машинных носителей персональных данных.</w:t>
      </w:r>
      <w:r>
        <w:rPr>
          <w:sz w:val="20"/>
          <w:szCs w:val="20"/>
        </w:rPr>
      </w:r>
    </w:p>
    <w:p>
      <w:pPr>
        <w:pStyle w:val="712"/>
        <w:numPr>
          <w:ilvl w:val="2"/>
          <w:numId w:val="1"/>
        </w:numPr>
        <w:ind w:left="709" w:hanging="709"/>
        <w:rPr>
          <w:sz w:val="20"/>
          <w:szCs w:val="20"/>
        </w:rPr>
      </w:pPr>
      <w:r>
        <w:rPr>
          <w:sz w:val="20"/>
          <w:szCs w:val="20"/>
        </w:rPr>
        <w:t xml:space="preserve">Настроена система обнаружения фактов несанкционированного доступа к персональным данным.</w:t>
      </w:r>
      <w:r>
        <w:rPr>
          <w:sz w:val="20"/>
          <w:szCs w:val="20"/>
        </w:rPr>
      </w:r>
    </w:p>
    <w:p>
      <w:pPr>
        <w:pStyle w:val="712"/>
        <w:numPr>
          <w:ilvl w:val="2"/>
          <w:numId w:val="1"/>
        </w:numPr>
        <w:ind w:left="709" w:hanging="709"/>
        <w:rPr>
          <w:sz w:val="20"/>
          <w:szCs w:val="20"/>
        </w:rPr>
      </w:pPr>
      <w:r>
        <w:rPr>
          <w:sz w:val="20"/>
          <w:szCs w:val="20"/>
        </w:rPr>
        <w:t xml:space="preserve">Реализованы меры по обнаружению, предупреждению и ликвидации последствий компьютерных атак на информационные системы персональных данных и по реагированию на компьютерные инциденты в них.</w:t>
      </w:r>
      <w:r>
        <w:rPr>
          <w:sz w:val="20"/>
          <w:szCs w:val="20"/>
        </w:rPr>
      </w:r>
    </w:p>
    <w:p>
      <w:pPr>
        <w:pStyle w:val="712"/>
        <w:numPr>
          <w:ilvl w:val="1"/>
          <w:numId w:val="1"/>
        </w:numPr>
        <w:ind w:left="709" w:hanging="709"/>
        <w:tabs>
          <w:tab w:val="left" w:pos="284" w:leader="none"/>
        </w:tabs>
        <w:rPr>
          <w:sz w:val="20"/>
          <w:szCs w:val="20"/>
        </w:rPr>
      </w:pPr>
      <w:r>
        <w:rPr>
          <w:sz w:val="20"/>
          <w:szCs w:val="20"/>
        </w:rPr>
        <w:t xml:space="preserve">В случаях, установленных нормативными актами Российской Федерации, Оператор обеспечивает:</w:t>
      </w:r>
      <w:r>
        <w:rPr>
          <w:sz w:val="20"/>
          <w:szCs w:val="20"/>
        </w:rPr>
      </w:r>
    </w:p>
    <w:p>
      <w:pPr>
        <w:pStyle w:val="712"/>
        <w:numPr>
          <w:ilvl w:val="2"/>
          <w:numId w:val="1"/>
        </w:numPr>
        <w:ind w:left="709" w:hanging="709"/>
        <w:tabs>
          <w:tab w:val="left" w:pos="142" w:leader="none"/>
          <w:tab w:val="left" w:pos="284" w:leader="none"/>
        </w:tabs>
        <w:rPr>
          <w:sz w:val="20"/>
          <w:szCs w:val="20"/>
        </w:rPr>
      </w:pPr>
      <w:r>
        <w:rPr>
          <w:sz w:val="20"/>
          <w:szCs w:val="20"/>
        </w:rPr>
        <w:t xml:space="preserve">регистрацию и учет действий, связанных с обработкой персональных данных;</w:t>
      </w:r>
      <w:r>
        <w:rPr>
          <w:sz w:val="20"/>
          <w:szCs w:val="20"/>
        </w:rPr>
      </w:r>
    </w:p>
    <w:p>
      <w:pPr>
        <w:pStyle w:val="712"/>
        <w:numPr>
          <w:ilvl w:val="2"/>
          <w:numId w:val="1"/>
        </w:numPr>
        <w:ind w:left="709" w:hanging="709"/>
        <w:tabs>
          <w:tab w:val="left" w:pos="142" w:leader="none"/>
          <w:tab w:val="left" w:pos="284" w:leader="none"/>
        </w:tabs>
        <w:rPr>
          <w:sz w:val="20"/>
          <w:szCs w:val="20"/>
        </w:rPr>
      </w:pPr>
      <w:r>
        <w:rPr>
          <w:sz w:val="20"/>
          <w:szCs w:val="20"/>
        </w:rPr>
        <w:t xml:space="preserve">предоставление доступа уполномоченной государственной технической службе к объектам информатизации, содержащим персональные данные ограниченного доступа;</w:t>
      </w:r>
      <w:r>
        <w:rPr>
          <w:sz w:val="20"/>
          <w:szCs w:val="20"/>
        </w:rPr>
      </w:r>
    </w:p>
    <w:p>
      <w:pPr>
        <w:pStyle w:val="712"/>
        <w:numPr>
          <w:ilvl w:val="2"/>
          <w:numId w:val="1"/>
        </w:numPr>
        <w:ind w:left="709" w:hanging="709"/>
        <w:tabs>
          <w:tab w:val="left" w:pos="142" w:leader="none"/>
          <w:tab w:val="left" w:pos="284" w:leader="none"/>
        </w:tabs>
        <w:rPr>
          <w:sz w:val="20"/>
          <w:szCs w:val="20"/>
        </w:rPr>
      </w:pPr>
      <w:r>
        <w:rPr>
          <w:sz w:val="20"/>
          <w:szCs w:val="20"/>
        </w:rPr>
        <w:t xml:space="preserve">реализацию мер безопасности с учетом актуального уровня технологий, стоимости их внедрения и рисков, связанных с характером обрабатываемых данных.</w:t>
      </w:r>
      <w:r>
        <w:rPr>
          <w:sz w:val="20"/>
          <w:szCs w:val="20"/>
        </w:rPr>
        <w:br/>
      </w:r>
      <w:r>
        <w:rPr>
          <w:sz w:val="20"/>
          <w:szCs w:val="20"/>
        </w:rPr>
      </w:r>
    </w:p>
    <w:p>
      <w:pPr>
        <w:pStyle w:val="712"/>
        <w:numPr>
          <w:ilvl w:val="0"/>
          <w:numId w:val="1"/>
        </w:num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Передача персональных данных</w:t>
      </w:r>
      <w:r>
        <w:rPr>
          <w:b/>
          <w:bCs/>
          <w:sz w:val="20"/>
          <w:szCs w:val="20"/>
        </w:rPr>
        <w:t xml:space="preserve">.</w:t>
      </w:r>
      <w:r>
        <w:rPr>
          <w:b/>
          <w:bCs/>
          <w:sz w:val="20"/>
          <w:szCs w:val="20"/>
        </w:rPr>
        <w:br/>
      </w:r>
      <w:r>
        <w:rPr>
          <w:b/>
          <w:bCs/>
          <w:sz w:val="20"/>
          <w:szCs w:val="20"/>
        </w:rPr>
      </w:r>
    </w:p>
    <w:p>
      <w:pPr>
        <w:pStyle w:val="712"/>
        <w:numPr>
          <w:ilvl w:val="1"/>
          <w:numId w:val="1"/>
        </w:numPr>
        <w:ind w:hanging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Оператор вправе передавать персональные данные третьим лицам в случаях и порядке, предусмотренных законодательст</w:t>
      </w:r>
      <w:r>
        <w:rPr>
          <w:sz w:val="20"/>
          <w:szCs w:val="20"/>
        </w:rPr>
        <w:t xml:space="preserve">вом Российской Федерации, а также для исполнения договоров и обеспечения функционирования Ресурса. Передача осуществляется только при наличии законного основания и при условии обеспечения такими лицами конфиденциальности и безопасности персональных данных.</w:t>
      </w:r>
      <w:r>
        <w:rPr>
          <w:sz w:val="20"/>
          <w:szCs w:val="20"/>
        </w:rPr>
      </w:r>
    </w:p>
    <w:tbl>
      <w:tblPr>
        <w:tblStyle w:val="719"/>
        <w:tblW w:w="9551" w:type="dxa"/>
        <w:tblInd w:w="-5" w:type="dxa"/>
        <w:tblLook w:val="04A0" w:firstRow="1" w:lastRow="0" w:firstColumn="1" w:lastColumn="0" w:noHBand="0" w:noVBand="1"/>
      </w:tblPr>
      <w:tblGrid>
        <w:gridCol w:w="1825"/>
        <w:gridCol w:w="2336"/>
        <w:gridCol w:w="1896"/>
        <w:gridCol w:w="1672"/>
        <w:gridCol w:w="1822"/>
      </w:tblGrid>
      <w:tr>
        <w:tblPrEx/>
        <w:trPr>
          <w:tblHeader/>
        </w:trPr>
        <w:tc>
          <w:tcPr>
            <w:shd w:val="clear" w:color="auto" w:fill="d9e2f3" w:themeFill="accent1" w:themeFillTint="33"/>
            <w:tcW w:w="1825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Кому мы передаем Ваши данные?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shd w:val="clear" w:color="auto" w:fill="d9e2f3" w:themeFill="accent1" w:themeFillTint="33"/>
            <w:tcW w:w="2336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 передачи данных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shd w:val="clear" w:color="auto" w:fill="d9e2f3" w:themeFill="accent1" w:themeFillTint="33"/>
            <w:tcW w:w="1896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Условия передачи данных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shd w:val="clear" w:color="auto" w:fill="d9e2f3" w:themeFill="accent1" w:themeFillTint="33"/>
            <w:tcW w:w="1672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Перечень действий по обработке, который выполняет получатель Ваших данных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shd w:val="clear" w:color="auto" w:fill="d9e2f3" w:themeFill="accent1" w:themeFillTint="33"/>
            <w:tcW w:w="1822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Наличие трансграничной передачи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</w:tr>
      <w:tr>
        <w:tblPrEx/>
        <w:trPr/>
        <w:tc>
          <w:tcPr>
            <w:tcW w:w="1825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Уполномоченные государственные органы (операторы)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</w:p>
        </w:tc>
        <w:tc>
          <w:tcPr>
            <w:tcW w:w="2336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Ответы на запросы государственных органов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Исполнение требований применимого законодательства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tcW w:w="1896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Исполнение требований применимого законодательства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tcW w:w="1672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Сбор, запись, хранение, уточнение (обновление, изменение), использование, передача, систематизация, накопление, извлечение, блокирование, уничтожение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tcW w:w="1822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</w:tr>
    </w:tbl>
    <w:p>
      <w:pPr>
        <w:pStyle w:val="707"/>
        <w:ind w:left="709"/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1"/>
          <w:numId w:val="1"/>
        </w:numPr>
        <w:ind w:left="709" w:hanging="709"/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Передача персональных данных может осуществляться: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П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ри наличии согласия субъекта персональных данных;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П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ри необходимости исполнения договора, стороной которого является субъект;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П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ри необходимости выполнения требований законодательства;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В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целях защиты прав и законных интересов Оператора или третьих лиц в случаях нарушения субъектом условий использования Ресурса либо договора;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numPr>
          <w:ilvl w:val="2"/>
          <w:numId w:val="1"/>
        </w:numPr>
        <w:ind w:left="709" w:hanging="709"/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В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 иных случаях, предусмотренных законодательством Российской Федерации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t xml:space="preserve">.</w:t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07"/>
        <w:ind w:left="709"/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  <w:outlineLvl w:val="1"/>
      </w:pP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  <w:r>
        <w:rPr>
          <w:rFonts w:ascii="Times New Roman" w:hAnsi="Times New Roman" w:eastAsia="Times New Roman" w:cs="Times New Roman"/>
          <w:sz w:val="20"/>
          <w:szCs w:val="20"/>
          <w:lang w:eastAsia="ru-RU"/>
          <w14:ligatures w14:val="none"/>
        </w:rPr>
      </w:r>
    </w:p>
    <w:p>
      <w:pPr>
        <w:pStyle w:val="712"/>
        <w:numPr>
          <w:ilvl w:val="1"/>
          <w:numId w:val="1"/>
        </w:numPr>
        <w:ind w:hanging="720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 xml:space="preserve">Оператор </w:t>
      </w:r>
      <w:r>
        <w:rPr>
          <w:rStyle w:val="713"/>
          <w:rFonts w:eastAsiaTheme="majorEastAsia"/>
          <w:sz w:val="20"/>
          <w:szCs w:val="20"/>
        </w:rPr>
        <w:t xml:space="preserve">не осуществляет трансграничную передачу персональных данных</w:t>
      </w:r>
      <w:r>
        <w:rPr>
          <w:sz w:val="20"/>
          <w:szCs w:val="20"/>
        </w:rPr>
        <w:t xml:space="preserve">, если иное не требуется по закону или не обусловлено использованием отдельных внешних сервисов, о которых субъект уведомляется заранее и может дать отдельное согласие (при необходимости).</w:t>
      </w:r>
      <w:r>
        <w:rPr>
          <w:sz w:val="20"/>
          <w:szCs w:val="20"/>
        </w:rPr>
      </w:r>
    </w:p>
    <w:p>
      <w:pPr>
        <w:pStyle w:val="712"/>
        <w:ind w:left="720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</w:r>
    </w:p>
    <w:p>
      <w:pPr>
        <w:pStyle w:val="712"/>
        <w:numPr>
          <w:ilvl w:val="1"/>
          <w:numId w:val="1"/>
        </w:numPr>
        <w:ind w:hanging="720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 xml:space="preserve">Обработка, запись, систематизация, хранение, ут</w:t>
      </w:r>
      <w:r>
        <w:rPr>
          <w:sz w:val="20"/>
          <w:szCs w:val="20"/>
        </w:rPr>
        <w:t xml:space="preserve">очнение (обновление, изменение) и извлечение персональных данных граждан Российской Федерации осуществляются с использованием баз данных, расположенных на территории Российской Федерации, в соответствии с требованиями ст. 18.1 Федерального закона № 152-ФЗ.</w:t>
      </w:r>
      <w:r>
        <w:rPr>
          <w:sz w:val="20"/>
          <w:szCs w:val="20"/>
        </w:rPr>
      </w:r>
    </w:p>
    <w:p>
      <w:pPr>
        <w:pStyle w:val="712"/>
        <w:ind w:left="720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</w:r>
    </w:p>
    <w:p>
      <w:pPr>
        <w:pStyle w:val="712"/>
        <w:numPr>
          <w:ilvl w:val="0"/>
          <w:numId w:val="1"/>
        </w:numPr>
        <w:jc w:val="center"/>
        <w:spacing w:before="0" w:beforeAutospacing="0" w:after="0" w:afterAutospacing="0"/>
        <w:rPr>
          <w:b/>
          <w:bCs/>
          <w:color w:val="000000" w:themeColor="text1"/>
          <w:sz w:val="20"/>
          <w:szCs w:val="20"/>
        </w:rPr>
      </w:pPr>
      <w:r>
        <w:rPr>
          <w:b/>
          <w:bCs/>
          <w:sz w:val="20"/>
          <w:szCs w:val="20"/>
        </w:rPr>
        <w:t xml:space="preserve">Использование </w:t>
      </w:r>
      <w:r>
        <w:rPr>
          <w:b/>
          <w:bCs/>
          <w:sz w:val="20"/>
          <w:szCs w:val="20"/>
        </w:rPr>
        <w:t xml:space="preserve">cookie</w:t>
      </w:r>
      <w:r>
        <w:rPr>
          <w:b/>
          <w:bCs/>
          <w:sz w:val="20"/>
          <w:szCs w:val="20"/>
        </w:rPr>
        <w:t xml:space="preserve">-файлов.</w:t>
      </w:r>
      <w:r>
        <w:rPr>
          <w:b/>
          <w:bCs/>
          <w:color w:val="000000" w:themeColor="text1"/>
          <w:sz w:val="20"/>
          <w:szCs w:val="20"/>
        </w:rPr>
      </w:r>
    </w:p>
    <w:p>
      <w:pPr>
        <w:pStyle w:val="712"/>
        <w:ind w:left="720"/>
        <w:spacing w:before="0" w:beforeAutospacing="0" w:after="0" w:afterAutospacing="0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</w:r>
      <w:r>
        <w:rPr>
          <w:color w:val="000000" w:themeColor="text1"/>
          <w:sz w:val="20"/>
          <w:szCs w:val="20"/>
        </w:rPr>
      </w:r>
    </w:p>
    <w:p>
      <w:pPr>
        <w:pStyle w:val="712"/>
        <w:numPr>
          <w:ilvl w:val="1"/>
          <w:numId w:val="1"/>
        </w:numPr>
        <w:ind w:hanging="720"/>
        <w:spacing w:before="0" w:beforeAutospacing="0" w:after="0" w:afterAutospacing="0"/>
        <w:rPr>
          <w:color w:val="000000" w:themeColor="text1"/>
          <w:sz w:val="20"/>
          <w:szCs w:val="20"/>
        </w:rPr>
      </w:pPr>
      <w:r>
        <w:rPr>
          <w:sz w:val="20"/>
          <w:szCs w:val="20"/>
        </w:rPr>
        <w:t xml:space="preserve">Посещение и использование сайта по умолчанию предусматривает генерацию и сохранение </w:t>
      </w:r>
      <w:r>
        <w:rPr>
          <w:sz w:val="20"/>
          <w:szCs w:val="20"/>
        </w:rPr>
        <w:t xml:space="preserve">cookie</w:t>
      </w:r>
      <w:r>
        <w:rPr>
          <w:sz w:val="20"/>
          <w:szCs w:val="20"/>
        </w:rPr>
        <w:t xml:space="preserve">-файлов.</w:t>
      </w:r>
      <w:r>
        <w:rPr>
          <w:color w:val="000000" w:themeColor="text1"/>
          <w:sz w:val="20"/>
          <w:szCs w:val="20"/>
        </w:rPr>
      </w:r>
    </w:p>
    <w:p>
      <w:pPr>
        <w:pStyle w:val="712"/>
        <w:ind w:left="720"/>
        <w:spacing w:before="0" w:beforeAutospacing="0" w:after="0" w:afterAutospacing="0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</w:r>
      <w:r>
        <w:rPr>
          <w:color w:val="000000" w:themeColor="text1"/>
          <w:sz w:val="20"/>
          <w:szCs w:val="20"/>
        </w:rPr>
      </w:r>
    </w:p>
    <w:p>
      <w:pPr>
        <w:pStyle w:val="712"/>
        <w:numPr>
          <w:ilvl w:val="1"/>
          <w:numId w:val="1"/>
        </w:numPr>
        <w:ind w:hanging="720"/>
        <w:spacing w:before="0" w:beforeAutospacing="0" w:after="0" w:afterAutospacing="0"/>
        <w:rPr>
          <w:color w:val="000000" w:themeColor="text1"/>
          <w:sz w:val="20"/>
          <w:szCs w:val="20"/>
        </w:rPr>
      </w:pPr>
      <w:r>
        <w:rPr>
          <w:sz w:val="20"/>
          <w:szCs w:val="20"/>
        </w:rPr>
        <w:t xml:space="preserve">На сайте используются следующие типы </w:t>
      </w:r>
      <w:r>
        <w:rPr>
          <w:sz w:val="20"/>
          <w:szCs w:val="20"/>
        </w:rPr>
        <w:t xml:space="preserve">cookie</w:t>
      </w:r>
      <w:r>
        <w:rPr>
          <w:sz w:val="20"/>
          <w:szCs w:val="20"/>
        </w:rPr>
        <w:t xml:space="preserve">-файлов:</w:t>
      </w:r>
      <w:r>
        <w:rPr>
          <w:color w:val="000000" w:themeColor="text1"/>
          <w:sz w:val="20"/>
          <w:szCs w:val="20"/>
        </w:rPr>
      </w:r>
    </w:p>
    <w:p>
      <w:pPr>
        <w:pStyle w:val="712"/>
        <w:numPr>
          <w:ilvl w:val="0"/>
          <w:numId w:val="24"/>
        </w:numPr>
        <w:jc w:val="both"/>
        <w:spacing w:before="0" w:beforeAutospacing="0" w:after="0" w:afterAutospacing="0"/>
        <w:rPr>
          <w:sz w:val="20"/>
          <w:szCs w:val="20"/>
        </w:rPr>
      </w:pPr>
      <w:r>
        <w:rPr>
          <w:rStyle w:val="713"/>
          <w:rFonts w:eastAsiaTheme="majorEastAsia"/>
          <w:sz w:val="20"/>
          <w:szCs w:val="20"/>
        </w:rPr>
        <w:t xml:space="preserve">Строго необходимые (технические) файлы </w:t>
      </w:r>
      <w:r>
        <w:rPr>
          <w:rStyle w:val="713"/>
          <w:rFonts w:eastAsiaTheme="majorEastAsia"/>
          <w:sz w:val="20"/>
          <w:szCs w:val="20"/>
        </w:rPr>
        <w:t xml:space="preserve">cookie</w:t>
      </w:r>
      <w:r>
        <w:rPr>
          <w:sz w:val="20"/>
          <w:szCs w:val="20"/>
        </w:rPr>
        <w:t xml:space="preserve">: эти файлы необходимы для функционирования сайта и предоставления сервисов, включая возможность входа в систему, использование форм и настройку конфиденциальности. Они позволяют идентифицировать аппаратное и программное </w:t>
      </w:r>
      <w:r>
        <w:rPr>
          <w:sz w:val="20"/>
          <w:szCs w:val="20"/>
        </w:rPr>
        <w:t xml:space="preserve">обеспечение пользователя, включая тип браузера. Такие файлы не могут быть отключены в системах сайта.</w:t>
      </w:r>
      <w:r>
        <w:rPr>
          <w:sz w:val="20"/>
          <w:szCs w:val="20"/>
        </w:rPr>
      </w:r>
    </w:p>
    <w:p>
      <w:pPr>
        <w:pStyle w:val="712"/>
        <w:ind w:left="720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</w:r>
    </w:p>
    <w:p>
      <w:pPr>
        <w:pStyle w:val="712"/>
        <w:numPr>
          <w:ilvl w:val="1"/>
          <w:numId w:val="1"/>
        </w:numPr>
        <w:ind w:hanging="720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 xml:space="preserve">Срок хранения </w:t>
      </w:r>
      <w:r>
        <w:rPr>
          <w:sz w:val="20"/>
          <w:szCs w:val="20"/>
        </w:rPr>
        <w:t xml:space="preserve">cookie</w:t>
      </w:r>
      <w:r>
        <w:rPr>
          <w:sz w:val="20"/>
          <w:szCs w:val="20"/>
        </w:rPr>
        <w:t xml:space="preserve">-файлов на устройстве пользователя зависит от их типа и цели использования, но не превышает период, необходимый для достижения этих целей, после чего файлы автоматически удаляются.</w:t>
      </w:r>
      <w:r>
        <w:rPr>
          <w:sz w:val="20"/>
          <w:szCs w:val="20"/>
        </w:rPr>
      </w:r>
    </w:p>
    <w:p>
      <w:pPr>
        <w:pStyle w:val="712"/>
        <w:numPr>
          <w:ilvl w:val="0"/>
          <w:numId w:val="1"/>
        </w:num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Заключительные положения.</w:t>
      </w:r>
      <w:r>
        <w:rPr>
          <w:b/>
          <w:bCs/>
          <w:sz w:val="20"/>
          <w:szCs w:val="20"/>
        </w:rPr>
        <w:br/>
      </w:r>
      <w:r>
        <w:rPr>
          <w:b/>
          <w:bCs/>
          <w:sz w:val="20"/>
          <w:szCs w:val="20"/>
        </w:rPr>
      </w:r>
    </w:p>
    <w:p>
      <w:pPr>
        <w:pStyle w:val="712"/>
        <w:numPr>
          <w:ilvl w:val="1"/>
          <w:numId w:val="1"/>
        </w:numPr>
        <w:ind w:hanging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По всем вопросам, не урегулированным настоящей Политикой, Оператор руководствуется действующим законодательством Российской Федерации, включая Закон о персональных данных, </w:t>
      </w:r>
      <w:r>
        <w:rPr>
          <w:sz w:val="20"/>
          <w:szCs w:val="20"/>
        </w:rPr>
        <w:br/>
        <w:t xml:space="preserve">а также локальными актами, регулирующими обработку персональных данных.</w:t>
      </w:r>
      <w:r>
        <w:rPr>
          <w:sz w:val="20"/>
          <w:szCs w:val="20"/>
        </w:rPr>
        <w:br/>
      </w:r>
      <w:r>
        <w:rPr>
          <w:sz w:val="20"/>
          <w:szCs w:val="20"/>
        </w:rPr>
      </w:r>
    </w:p>
    <w:p>
      <w:pPr>
        <w:pStyle w:val="712"/>
        <w:numPr>
          <w:ilvl w:val="1"/>
          <w:numId w:val="1"/>
        </w:numPr>
        <w:ind w:hanging="720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 xml:space="preserve">В настоящую Поли</w:t>
      </w:r>
      <w:r>
        <w:rPr>
          <w:sz w:val="20"/>
          <w:szCs w:val="20"/>
        </w:rPr>
        <w:t xml:space="preserve">тику могут быть внесены изменения. Оператор оставляет за собой право вносить изменения по своему усмотрению, в том числе, но не ограничиваясь, в случаях, когда изменения связаны с изменениями в применимом законодательстве или с изменениями в работе Сайтов </w:t>
      </w:r>
      <w:r>
        <w:rPr>
          <w:sz w:val="20"/>
          <w:szCs w:val="20"/>
        </w:rPr>
        <w:br/>
        <w:t xml:space="preserve">и Сервисов.</w:t>
      </w:r>
      <w:r>
        <w:rPr>
          <w:sz w:val="20"/>
          <w:szCs w:val="20"/>
        </w:rPr>
      </w:r>
    </w:p>
    <w:p>
      <w:pPr>
        <w:pStyle w:val="712"/>
        <w:ind w:left="720" w:hanging="720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</w:r>
    </w:p>
    <w:p>
      <w:pPr>
        <w:pStyle w:val="712"/>
        <w:numPr>
          <w:ilvl w:val="1"/>
          <w:numId w:val="1"/>
        </w:numPr>
        <w:ind w:hanging="720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 xml:space="preserve">Оператор обязуется не вносить существенных изменений, не налагать дополнительных обременений или ограничений Ваших прав, установленных настоящей Политикой, без Вашего уведомления. </w:t>
      </w:r>
      <w:r>
        <w:rPr>
          <w:sz w:val="20"/>
          <w:szCs w:val="20"/>
        </w:rPr>
        <w:br/>
        <w:t xml:space="preserve">Вы будете уведомлены о таких изменениях. Соответствующие уведомления могут отображаться </w:t>
      </w:r>
      <w:r>
        <w:rPr>
          <w:sz w:val="20"/>
          <w:szCs w:val="20"/>
        </w:rPr>
        <w:br/>
        <w:t xml:space="preserve">на Сайте или в Сервисах (например, через всплывающее окно или баннер) до вступления изменений в силу, либо могут быть отправлены Вам по другим каналам связи (например, по электронной почте, если Вы предоставили Оператору Ваши контактные данные).</w:t>
      </w:r>
      <w:r>
        <w:rPr>
          <w:sz w:val="20"/>
          <w:szCs w:val="20"/>
        </w:rPr>
      </w:r>
    </w:p>
    <w:p>
      <w:pPr>
        <w:pStyle w:val="712"/>
        <w:ind w:left="720" w:hanging="720"/>
        <w:jc w:val="both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</w:r>
    </w:p>
    <w:p>
      <w:pPr>
        <w:pStyle w:val="712"/>
        <w:numPr>
          <w:ilvl w:val="1"/>
          <w:numId w:val="1"/>
        </w:numPr>
        <w:ind w:hanging="720"/>
        <w:jc w:val="both"/>
        <w:spacing w:before="0" w:beforeAutospacing="0" w:after="0" w:afterAutospacing="0"/>
        <w:rPr>
          <w:sz w:val="20"/>
          <w:szCs w:val="20"/>
          <w:highlight w:val="none"/>
        </w:rPr>
      </w:pPr>
      <w:r>
        <w:rPr>
          <w:sz w:val="20"/>
          <w:szCs w:val="20"/>
          <w:highlight w:val="none"/>
        </w:rPr>
        <w:t xml:space="preserve">Актуальная редакция Политики размещается на сайте Оператора по адресу: </w:t>
      </w:r>
      <w:r>
        <w:rPr>
          <w:sz w:val="20"/>
          <w:szCs w:val="20"/>
          <w:highlight w:val="none"/>
        </w:rPr>
        <w:t xml:space="preserve">https://loplus.ru/privacy-policy/</w:t>
      </w:r>
      <w:r>
        <w:rPr>
          <w:sz w:val="20"/>
          <w:szCs w:val="20"/>
          <w:highlight w:val="none"/>
        </w:rPr>
      </w:r>
      <w:r>
        <w:rPr>
          <w:sz w:val="20"/>
          <w:szCs w:val="20"/>
          <w:highlight w:val="none"/>
        </w:rPr>
      </w:r>
    </w:p>
    <w:p>
      <w:pPr>
        <w:pStyle w:val="712"/>
        <w:ind w:left="720" w:hanging="720"/>
        <w:jc w:val="both"/>
        <w:spacing w:before="0" w:beforeAutospacing="0" w:after="0" w:afterAutospacing="0"/>
        <w:rPr>
          <w:sz w:val="20"/>
          <w:szCs w:val="20"/>
          <w:highlight w:val="yellow"/>
        </w:rPr>
      </w:pPr>
      <w:r>
        <w:rPr>
          <w:sz w:val="20"/>
          <w:szCs w:val="20"/>
          <w:highlight w:val="yellow"/>
        </w:rPr>
      </w:r>
      <w:r>
        <w:rPr>
          <w:sz w:val="20"/>
          <w:szCs w:val="20"/>
          <w:highlight w:val="yellow"/>
        </w:rPr>
      </w:r>
    </w:p>
    <w:p>
      <w:pPr>
        <w:pStyle w:val="712"/>
        <w:numPr>
          <w:ilvl w:val="1"/>
          <w:numId w:val="1"/>
        </w:numPr>
        <w:ind w:hanging="720"/>
        <w:jc w:val="both"/>
        <w:spacing w:before="0" w:beforeAutospacing="0" w:after="0" w:afterAutospacing="0"/>
        <w:rPr>
          <w:sz w:val="20"/>
          <w:szCs w:val="20"/>
          <w:highlight w:val="none"/>
        </w:rPr>
      </w:pPr>
      <w:r>
        <w:rPr>
          <w:sz w:val="20"/>
          <w:szCs w:val="20"/>
          <w:highlight w:val="none"/>
        </w:rPr>
        <w:t xml:space="preserve">Дата размещения Политики: 25 ноября 2025 г.. Версия Политики: 1.0.</w:t>
      </w:r>
      <w:r>
        <w:rPr>
          <w:sz w:val="20"/>
          <w:szCs w:val="20"/>
          <w:highlight w:val="none"/>
        </w:rPr>
      </w:r>
    </w:p>
    <w:p>
      <w:pPr>
        <w:pStyle w:val="712"/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</w:r>
      <w:r>
        <w:rPr>
          <w:color w:val="000000" w:themeColor="text1"/>
          <w:sz w:val="20"/>
          <w:szCs w:val="20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Calibri">
    <w:panose1 w:val="020F050202020403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62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82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202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922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42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62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82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802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522" w:hanging="360"/>
      </w:pPr>
      <w:rPr>
        <w:rFonts w:hint="default" w:ascii="Wingdings" w:hAnsi="Wingdings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isLgl/>
      <w:suff w:val="tab"/>
      <w:lvlText w:val="%1.%2.%3."/>
      <w:lvlJc w:val="left"/>
      <w:pPr>
        <w:ind w:left="1080" w:hanging="720"/>
      </w:pPr>
      <w:rPr>
        <w:rFonts w:hint="default"/>
        <w:b w:val="0"/>
        <w:bCs w:val="0"/>
      </w:rPr>
    </w:lvl>
    <w:lvl w:ilvl="3">
      <w:start w:val="1"/>
      <w:numFmt w:val="decimal"/>
      <w:isLgl/>
      <w:suff w:val="tab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4">
    <w:multiLevelType w:val="hybridMultilevel"/>
    <w:lvl w:ilvl="0">
      <w:start w:val="4"/>
      <w:numFmt w:val="bullet"/>
      <w:isLgl w:val="false"/>
      <w:suff w:val="tab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6">
    <w:multiLevelType w:val="hybridMultilevel"/>
    <w:lvl w:ilvl="0">
      <w:start w:val="1"/>
      <w:numFmt w:val="decimal"/>
      <w:isLgl w:val="false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0" w:firstLine="851"/>
      </w:pPr>
      <w:rPr>
        <w:rFonts w:hint="default"/>
      </w:rPr>
    </w:lvl>
    <w:lvl w:ilvl="2">
      <w:start w:val="1"/>
      <w:numFmt w:val="decimal"/>
      <w:isLgl/>
      <w:suff w:val="space"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913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4255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5597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7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0">
    <w:multiLevelType w:val="hybridMultilevel"/>
    <w:lvl w:ilvl="0">
      <w:start w:val="4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14">
    <w:multiLevelType w:val="hybridMultilevel"/>
    <w:lvl w:ilvl="0">
      <w:start w:val="9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6">
    <w:multiLevelType w:val="hybridMultilevel"/>
    <w:lvl w:ilvl="0">
      <w:start w:val="5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8">
    <w:multiLevelType w:val="hybridMultilevel"/>
    <w:lvl w:ilvl="0">
      <w:start w:val="8"/>
      <w:numFmt w:val="decimal"/>
      <w:isLgl w:val="false"/>
      <w:suff w:val="tab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 w:val="false"/>
      <w:suff w:val="tab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2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21">
    <w:multiLevelType w:val="hybridMultilevel"/>
    <w:lvl w:ilvl="0">
      <w:start w:val="8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22">
    <w:multiLevelType w:val="hybridMultilevel"/>
    <w:lvl w:ilvl="0">
      <w:start w:val="9"/>
      <w:numFmt w:val="decimal"/>
      <w:isLgl w:val="false"/>
      <w:suff w:val="tab"/>
      <w:lvlText w:val="%1"/>
      <w:lvlJc w:val="left"/>
      <w:pPr>
        <w:ind w:left="360" w:hanging="360"/>
      </w:pPr>
      <w:rPr>
        <w:rFonts w:hint="default"/>
      </w:rPr>
    </w:lvl>
    <w:lvl w:ilvl="1">
      <w:start w:val="47"/>
      <w:numFmt w:val="decimal"/>
      <w:isLgl w:val="false"/>
      <w:suff w:val="tab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 w:val="false"/>
      <w:suff w:val="tab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24">
    <w:multiLevelType w:val="hybridMultilevel"/>
    <w:lvl w:ilvl="0">
      <w:start w:val="6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25">
    <w:multiLevelType w:val="hybridMultilevel"/>
    <w:lvl w:ilvl="0">
      <w:start w:val="7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>
    <w:multiLevelType w:val="hybridMultilevel"/>
    <w:lvl w:ilvl="0">
      <w:start w:val="7"/>
      <w:numFmt w:val="decimal"/>
      <w:isLgl w:val="false"/>
      <w:suff w:val="tab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 w:val="false"/>
      <w:suff w:val="tab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8">
    <w:multiLevelType w:val="hybridMultilevel"/>
    <w:lvl w:ilvl="0">
      <w:start w:val="9"/>
      <w:numFmt w:val="decimal"/>
      <w:isLgl w:val="false"/>
      <w:suff w:val="tab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 w:val="false"/>
      <w:suff w:val="tab"/>
      <w:lvlText w:val="%1.%2.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isLgl w:val="false"/>
      <w:suff w:val="tab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2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decimal"/>
      <w:isLgl/>
      <w:suff w:val="tab"/>
      <w:lvlText w:val="%1.%2.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isLgl/>
      <w:suff w:val="tab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multiLevelType w:val="hybridMultilevel"/>
    <w:lvl w:ilvl="0">
      <w:start w:val="5"/>
      <w:numFmt w:val="decimal"/>
      <w:isLgl w:val="false"/>
      <w:suff w:val="tab"/>
      <w:lvlText w:val="%1"/>
      <w:lvlJc w:val="left"/>
      <w:pPr>
        <w:ind w:left="360" w:hanging="360"/>
      </w:pPr>
      <w:rPr>
        <w:rFonts w:hint="default" w:asciiTheme="minorHAnsi" w:hAnsiTheme="minorHAnsi" w:eastAsiaTheme="minorHAnsi" w:cstheme="minorBidi"/>
      </w:rPr>
    </w:lvl>
    <w:lvl w:ilvl="1">
      <w:start w:val="17"/>
      <w:numFmt w:val="decimal"/>
      <w:isLgl w:val="false"/>
      <w:suff w:val="tab"/>
      <w:lvlText w:val="%1.%2"/>
      <w:lvlJc w:val="left"/>
      <w:pPr>
        <w:ind w:left="360" w:hanging="360"/>
      </w:pPr>
      <w:rPr>
        <w:rFonts w:hint="default" w:asciiTheme="minorHAnsi" w:hAnsiTheme="minorHAnsi" w:eastAsiaTheme="minorHAnsi" w:cstheme="minorBidi"/>
      </w:rPr>
    </w:lvl>
    <w:lvl w:ilvl="2">
      <w:start w:val="1"/>
      <w:numFmt w:val="decimal"/>
      <w:isLgl w:val="false"/>
      <w:suff w:val="tab"/>
      <w:lvlText w:val="%1.%2.%3"/>
      <w:lvlJc w:val="left"/>
      <w:pPr>
        <w:ind w:left="720" w:hanging="720"/>
      </w:pPr>
      <w:rPr>
        <w:rFonts w:hint="default" w:asciiTheme="minorHAnsi" w:hAnsiTheme="minorHAnsi" w:eastAsiaTheme="minorHAnsi" w:cstheme="minorBidi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720" w:hanging="720"/>
      </w:pPr>
      <w:rPr>
        <w:rFonts w:hint="default" w:asciiTheme="minorHAnsi" w:hAnsiTheme="minorHAnsi" w:eastAsiaTheme="minorHAnsi" w:cstheme="minorBidi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720" w:hanging="720"/>
      </w:pPr>
      <w:rPr>
        <w:rFonts w:hint="default" w:asciiTheme="minorHAnsi" w:hAnsiTheme="minorHAnsi" w:eastAsiaTheme="minorHAnsi" w:cstheme="minorBidi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1080" w:hanging="1080"/>
      </w:pPr>
      <w:rPr>
        <w:rFonts w:hint="default" w:asciiTheme="minorHAnsi" w:hAnsiTheme="minorHAnsi" w:eastAsiaTheme="minorHAnsi" w:cstheme="minorBidi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1080" w:hanging="1080"/>
      </w:pPr>
      <w:rPr>
        <w:rFonts w:hint="default" w:asciiTheme="minorHAnsi" w:hAnsiTheme="minorHAnsi" w:eastAsiaTheme="minorHAnsi" w:cstheme="minorBidi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1440" w:hanging="1440"/>
      </w:pPr>
      <w:rPr>
        <w:rFonts w:hint="default" w:asciiTheme="minorHAnsi" w:hAnsiTheme="minorHAnsi" w:eastAsiaTheme="minorHAnsi" w:cstheme="minorBidi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1440" w:hanging="1440"/>
      </w:pPr>
      <w:rPr>
        <w:rFonts w:hint="default" w:asciiTheme="minorHAnsi" w:hAnsiTheme="minorHAnsi" w:eastAsiaTheme="minorHAnsi" w:cstheme="minorBidi"/>
      </w:rPr>
    </w:lvl>
  </w:abstractNum>
  <w:num w:numId="1">
    <w:abstractNumId w:val="2"/>
  </w:num>
  <w:num w:numId="2">
    <w:abstractNumId w:val="26"/>
  </w:num>
  <w:num w:numId="3">
    <w:abstractNumId w:val="7"/>
  </w:num>
  <w:num w:numId="4">
    <w:abstractNumId w:val="15"/>
  </w:num>
  <w:num w:numId="5">
    <w:abstractNumId w:val="12"/>
  </w:num>
  <w:num w:numId="6">
    <w:abstractNumId w:val="19"/>
  </w:num>
  <w:num w:numId="7">
    <w:abstractNumId w:val="11"/>
  </w:num>
  <w:num w:numId="8">
    <w:abstractNumId w:val="1"/>
  </w:num>
  <w:num w:numId="9">
    <w:abstractNumId w:val="4"/>
  </w:num>
  <w:num w:numId="10">
    <w:abstractNumId w:val="30"/>
  </w:num>
  <w:num w:numId="11">
    <w:abstractNumId w:val="9"/>
  </w:num>
  <w:num w:numId="12">
    <w:abstractNumId w:val="0"/>
  </w:num>
  <w:num w:numId="13">
    <w:abstractNumId w:val="8"/>
  </w:num>
  <w:num w:numId="14">
    <w:abstractNumId w:val="16"/>
  </w:num>
  <w:num w:numId="15">
    <w:abstractNumId w:val="10"/>
  </w:num>
  <w:num w:numId="16">
    <w:abstractNumId w:val="25"/>
  </w:num>
  <w:num w:numId="17">
    <w:abstractNumId w:val="24"/>
  </w:num>
  <w:num w:numId="18">
    <w:abstractNumId w:val="21"/>
  </w:num>
  <w:num w:numId="19">
    <w:abstractNumId w:val="14"/>
  </w:num>
  <w:num w:numId="20">
    <w:abstractNumId w:val="20"/>
  </w:num>
  <w:num w:numId="21">
    <w:abstractNumId w:val="29"/>
  </w:num>
  <w:num w:numId="22">
    <w:abstractNumId w:val="5"/>
  </w:num>
  <w:num w:numId="23">
    <w:abstractNumId w:val="27"/>
  </w:num>
  <w:num w:numId="24">
    <w:abstractNumId w:val="3"/>
  </w:num>
  <w:num w:numId="25">
    <w:abstractNumId w:val="18"/>
  </w:num>
  <w:num w:numId="26">
    <w:abstractNumId w:val="28"/>
  </w:num>
  <w:num w:numId="27">
    <w:abstractNumId w:val="6"/>
  </w:num>
  <w:num w:numId="28">
    <w:abstractNumId w:val="17"/>
  </w:num>
  <w:num w:numId="29">
    <w:abstractNumId w:val="22"/>
  </w:num>
  <w:num w:numId="30">
    <w:abstractNumId w:val="13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4"/>
        <w:szCs w:val="24"/>
        <w:lang w:val="ru-RU" w:eastAsia="en-US" w:bidi="ar-SA"/>
        <w14:ligatures w14:val="standardContextual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89"/>
    <w:link w:val="680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689"/>
    <w:link w:val="681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689"/>
    <w:link w:val="682"/>
    <w:uiPriority w:val="9"/>
    <w:rPr>
      <w:rFonts w:ascii="Arial" w:hAnsi="Arial" w:eastAsia="Arial" w:cs="Arial"/>
      <w:sz w:val="30"/>
      <w:szCs w:val="30"/>
    </w:rPr>
  </w:style>
  <w:style w:type="character" w:styleId="20">
    <w:name w:val="Heading 4 Char"/>
    <w:basedOn w:val="689"/>
    <w:link w:val="683"/>
    <w:uiPriority w:val="9"/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689"/>
    <w:link w:val="684"/>
    <w:uiPriority w:val="9"/>
    <w:rPr>
      <w:rFonts w:ascii="Arial" w:hAnsi="Arial" w:eastAsia="Arial" w:cs="Arial"/>
      <w:b/>
      <w:bCs/>
      <w:sz w:val="24"/>
      <w:szCs w:val="24"/>
    </w:rPr>
  </w:style>
  <w:style w:type="character" w:styleId="24">
    <w:name w:val="Heading 6 Char"/>
    <w:basedOn w:val="689"/>
    <w:link w:val="685"/>
    <w:uiPriority w:val="9"/>
    <w:rPr>
      <w:rFonts w:ascii="Arial" w:hAnsi="Arial" w:eastAsia="Arial" w:cs="Arial"/>
      <w:b/>
      <w:bCs/>
      <w:sz w:val="22"/>
      <w:szCs w:val="22"/>
    </w:rPr>
  </w:style>
  <w:style w:type="character" w:styleId="26">
    <w:name w:val="Heading 7 Char"/>
    <w:basedOn w:val="689"/>
    <w:link w:val="68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28">
    <w:name w:val="Heading 8 Char"/>
    <w:basedOn w:val="689"/>
    <w:link w:val="687"/>
    <w:uiPriority w:val="9"/>
    <w:rPr>
      <w:rFonts w:ascii="Arial" w:hAnsi="Arial" w:eastAsia="Arial" w:cs="Arial"/>
      <w:i/>
      <w:iCs/>
      <w:sz w:val="22"/>
      <w:szCs w:val="22"/>
    </w:rPr>
  </w:style>
  <w:style w:type="character" w:styleId="30">
    <w:name w:val="Heading 9 Char"/>
    <w:basedOn w:val="689"/>
    <w:link w:val="688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No Spacing"/>
    <w:uiPriority w:val="1"/>
    <w:qFormat/>
    <w:pPr>
      <w:spacing w:before="0" w:after="0" w:line="240" w:lineRule="auto"/>
    </w:pPr>
  </w:style>
  <w:style w:type="character" w:styleId="35">
    <w:name w:val="Title Char"/>
    <w:basedOn w:val="689"/>
    <w:link w:val="701"/>
    <w:uiPriority w:val="10"/>
    <w:rPr>
      <w:sz w:val="48"/>
      <w:szCs w:val="48"/>
    </w:rPr>
  </w:style>
  <w:style w:type="character" w:styleId="37">
    <w:name w:val="Subtitle Char"/>
    <w:basedOn w:val="689"/>
    <w:link w:val="703"/>
    <w:uiPriority w:val="11"/>
    <w:rPr>
      <w:sz w:val="24"/>
      <w:szCs w:val="24"/>
    </w:rPr>
  </w:style>
  <w:style w:type="character" w:styleId="39">
    <w:name w:val="Quote Char"/>
    <w:link w:val="705"/>
    <w:uiPriority w:val="29"/>
    <w:rPr>
      <w:i/>
    </w:rPr>
  </w:style>
  <w:style w:type="character" w:styleId="41">
    <w:name w:val="Intense Quote Char"/>
    <w:link w:val="709"/>
    <w:uiPriority w:val="30"/>
    <w:rPr>
      <w:i/>
    </w:rPr>
  </w:style>
  <w:style w:type="character" w:styleId="43">
    <w:name w:val="Header Char"/>
    <w:basedOn w:val="689"/>
    <w:link w:val="723"/>
    <w:uiPriority w:val="99"/>
  </w:style>
  <w:style w:type="paragraph" w:styleId="44">
    <w:name w:val="Footer"/>
    <w:basedOn w:val="679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89"/>
    <w:link w:val="44"/>
    <w:uiPriority w:val="99"/>
  </w:style>
  <w:style w:type="paragraph" w:styleId="46">
    <w:name w:val="Caption"/>
    <w:basedOn w:val="679"/>
    <w:next w:val="679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9">
    <w:name w:val="Table Grid Light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8">
    <w:name w:val="List Table 7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2">
    <w:name w:val="List Table 7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55">
    <w:name w:val="Lined - Accent 2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59">
    <w:name w:val="Lined - Accent 6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62">
    <w:name w:val="Bordered &amp; Lined - Accent 2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66">
    <w:name w:val="Bordered &amp; Lined - Accent 6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75">
    <w:name w:val="footnote text"/>
    <w:basedOn w:val="679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89"/>
    <w:uiPriority w:val="99"/>
    <w:unhideWhenUsed/>
    <w:rPr>
      <w:vertAlign w:val="superscript"/>
    </w:rPr>
  </w:style>
  <w:style w:type="paragraph" w:styleId="178">
    <w:name w:val="endnote text"/>
    <w:basedOn w:val="679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89"/>
    <w:uiPriority w:val="99"/>
    <w:semiHidden/>
    <w:unhideWhenUsed/>
    <w:rPr>
      <w:vertAlign w:val="superscript"/>
    </w:rPr>
  </w:style>
  <w:style w:type="paragraph" w:styleId="181">
    <w:name w:val="toc 1"/>
    <w:basedOn w:val="679"/>
    <w:next w:val="679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79"/>
    <w:next w:val="679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79"/>
    <w:next w:val="679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79"/>
    <w:next w:val="679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79"/>
    <w:next w:val="679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79"/>
    <w:next w:val="679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79"/>
    <w:next w:val="679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79"/>
    <w:next w:val="679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79"/>
    <w:next w:val="679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79"/>
    <w:next w:val="679"/>
    <w:uiPriority w:val="99"/>
    <w:unhideWhenUsed/>
    <w:pPr>
      <w:spacing w:after="0" w:afterAutospacing="0"/>
    </w:pPr>
  </w:style>
  <w:style w:type="paragraph" w:styleId="679" w:default="1">
    <w:name w:val="Normal"/>
    <w:qFormat/>
  </w:style>
  <w:style w:type="paragraph" w:styleId="680">
    <w:name w:val="Heading 1"/>
    <w:basedOn w:val="679"/>
    <w:next w:val="679"/>
    <w:link w:val="692"/>
    <w:uiPriority w:val="9"/>
    <w:qFormat/>
    <w:pPr>
      <w:keepLines/>
      <w:keepNext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681">
    <w:name w:val="Heading 2"/>
    <w:basedOn w:val="679"/>
    <w:next w:val="679"/>
    <w:link w:val="693"/>
    <w:uiPriority w:val="9"/>
    <w:unhideWhenUsed/>
    <w:qFormat/>
    <w:pPr>
      <w:keepLines/>
      <w:keepNext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682">
    <w:name w:val="Heading 3"/>
    <w:basedOn w:val="679"/>
    <w:next w:val="679"/>
    <w:link w:val="694"/>
    <w:uiPriority w:val="9"/>
    <w:unhideWhenUsed/>
    <w:qFormat/>
    <w:pPr>
      <w:keepLines/>
      <w:keepNext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683">
    <w:name w:val="Heading 4"/>
    <w:basedOn w:val="679"/>
    <w:next w:val="679"/>
    <w:link w:val="695"/>
    <w:uiPriority w:val="9"/>
    <w:semiHidden/>
    <w:unhideWhenUsed/>
    <w:qFormat/>
    <w:pPr>
      <w:keepLines/>
      <w:keepNext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684">
    <w:name w:val="Heading 5"/>
    <w:basedOn w:val="679"/>
    <w:next w:val="679"/>
    <w:link w:val="696"/>
    <w:uiPriority w:val="9"/>
    <w:semiHidden/>
    <w:unhideWhenUsed/>
    <w:qFormat/>
    <w:pPr>
      <w:keepLines/>
      <w:keepNext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85">
    <w:name w:val="Heading 6"/>
    <w:basedOn w:val="679"/>
    <w:next w:val="679"/>
    <w:link w:val="697"/>
    <w:uiPriority w:val="9"/>
    <w:semiHidden/>
    <w:unhideWhenUsed/>
    <w:qFormat/>
    <w:pPr>
      <w:keepLines/>
      <w:keepNext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686">
    <w:name w:val="Heading 7"/>
    <w:basedOn w:val="679"/>
    <w:next w:val="679"/>
    <w:link w:val="698"/>
    <w:uiPriority w:val="9"/>
    <w:semiHidden/>
    <w:unhideWhenUsed/>
    <w:qFormat/>
    <w:pPr>
      <w:keepLines/>
      <w:keepNext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687">
    <w:name w:val="Heading 8"/>
    <w:basedOn w:val="679"/>
    <w:next w:val="679"/>
    <w:link w:val="699"/>
    <w:uiPriority w:val="9"/>
    <w:semiHidden/>
    <w:unhideWhenUsed/>
    <w:qFormat/>
    <w:pPr>
      <w:keepLines/>
      <w:keepNext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688">
    <w:name w:val="Heading 9"/>
    <w:basedOn w:val="679"/>
    <w:next w:val="679"/>
    <w:link w:val="700"/>
    <w:uiPriority w:val="9"/>
    <w:semiHidden/>
    <w:unhideWhenUsed/>
    <w:qFormat/>
    <w:pPr>
      <w:keepLines/>
      <w:keepNext/>
      <w:outlineLvl w:val="8"/>
    </w:pPr>
    <w:rPr>
      <w:rFonts w:eastAsiaTheme="majorEastAsia" w:cstheme="majorBidi"/>
      <w:color w:val="272727" w:themeColor="text1" w:themeTint="D8"/>
    </w:rPr>
  </w:style>
  <w:style w:type="character" w:styleId="689" w:default="1">
    <w:name w:val="Default Paragraph Font"/>
    <w:uiPriority w:val="1"/>
    <w:semiHidden/>
    <w:unhideWhenUsed/>
  </w:style>
  <w:style w:type="table" w:styleId="69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91" w:default="1">
    <w:name w:val="No List"/>
    <w:uiPriority w:val="99"/>
    <w:semiHidden/>
    <w:unhideWhenUsed/>
  </w:style>
  <w:style w:type="character" w:styleId="692" w:customStyle="1">
    <w:name w:val="Заголовок 1 Знак"/>
    <w:basedOn w:val="689"/>
    <w:link w:val="680"/>
    <w:uiPriority w:val="9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693" w:customStyle="1">
    <w:name w:val="Заголовок 2 Знак"/>
    <w:basedOn w:val="689"/>
    <w:link w:val="681"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694" w:customStyle="1">
    <w:name w:val="Заголовок 3 Знак"/>
    <w:basedOn w:val="689"/>
    <w:link w:val="682"/>
    <w:uiPriority w:val="9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695" w:customStyle="1">
    <w:name w:val="Заголовок 4 Знак"/>
    <w:basedOn w:val="689"/>
    <w:link w:val="683"/>
    <w:uiPriority w:val="9"/>
    <w:semiHidden/>
    <w:rPr>
      <w:rFonts w:eastAsiaTheme="majorEastAsia" w:cstheme="majorBidi"/>
      <w:i/>
      <w:iCs/>
      <w:color w:val="2f5496" w:themeColor="accent1" w:themeShade="BF"/>
    </w:rPr>
  </w:style>
  <w:style w:type="character" w:styleId="696" w:customStyle="1">
    <w:name w:val="Заголовок 5 Знак"/>
    <w:basedOn w:val="689"/>
    <w:link w:val="684"/>
    <w:uiPriority w:val="9"/>
    <w:semiHidden/>
    <w:rPr>
      <w:rFonts w:eastAsiaTheme="majorEastAsia" w:cstheme="majorBidi"/>
      <w:color w:val="2f5496" w:themeColor="accent1" w:themeShade="BF"/>
    </w:rPr>
  </w:style>
  <w:style w:type="character" w:styleId="697" w:customStyle="1">
    <w:name w:val="Заголовок 6 Знак"/>
    <w:basedOn w:val="689"/>
    <w:link w:val="685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styleId="698" w:customStyle="1">
    <w:name w:val="Заголовок 7 Знак"/>
    <w:basedOn w:val="689"/>
    <w:link w:val="686"/>
    <w:uiPriority w:val="9"/>
    <w:semiHidden/>
    <w:rPr>
      <w:rFonts w:eastAsiaTheme="majorEastAsia" w:cstheme="majorBidi"/>
      <w:color w:val="595959" w:themeColor="text1" w:themeTint="A6"/>
    </w:rPr>
  </w:style>
  <w:style w:type="character" w:styleId="699" w:customStyle="1">
    <w:name w:val="Заголовок 8 Знак"/>
    <w:basedOn w:val="689"/>
    <w:link w:val="687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styleId="700" w:customStyle="1">
    <w:name w:val="Заголовок 9 Знак"/>
    <w:basedOn w:val="689"/>
    <w:link w:val="688"/>
    <w:uiPriority w:val="9"/>
    <w:semiHidden/>
    <w:rPr>
      <w:rFonts w:eastAsiaTheme="majorEastAsia" w:cstheme="majorBidi"/>
      <w:color w:val="272727" w:themeColor="text1" w:themeTint="D8"/>
    </w:rPr>
  </w:style>
  <w:style w:type="paragraph" w:styleId="701">
    <w:name w:val="Title"/>
    <w:basedOn w:val="679"/>
    <w:next w:val="679"/>
    <w:link w:val="702"/>
    <w:uiPriority w:val="10"/>
    <w:qFormat/>
    <w:pPr>
      <w:contextualSpacing/>
      <w:spacing w:after="80"/>
    </w:pPr>
    <w:rPr>
      <w:rFonts w:asciiTheme="majorHAnsi" w:hAnsiTheme="majorHAnsi" w:eastAsiaTheme="majorEastAsia" w:cstheme="majorBidi"/>
      <w:spacing w:val="-10"/>
      <w:sz w:val="56"/>
      <w:szCs w:val="56"/>
    </w:rPr>
  </w:style>
  <w:style w:type="character" w:styleId="702" w:customStyle="1">
    <w:name w:val="Заголовок Знак"/>
    <w:basedOn w:val="689"/>
    <w:link w:val="701"/>
    <w:uiPriority w:val="10"/>
    <w:rPr>
      <w:rFonts w:asciiTheme="majorHAnsi" w:hAnsiTheme="majorHAnsi" w:eastAsiaTheme="majorEastAsia" w:cstheme="majorBidi"/>
      <w:spacing w:val="-10"/>
      <w:sz w:val="56"/>
      <w:szCs w:val="56"/>
    </w:rPr>
  </w:style>
  <w:style w:type="paragraph" w:styleId="703">
    <w:name w:val="Subtitle"/>
    <w:basedOn w:val="679"/>
    <w:next w:val="679"/>
    <w:link w:val="704"/>
    <w:uiPriority w:val="11"/>
    <w:qFormat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704" w:customStyle="1">
    <w:name w:val="Подзаголовок Знак"/>
    <w:basedOn w:val="689"/>
    <w:link w:val="703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705">
    <w:name w:val="Quote"/>
    <w:basedOn w:val="679"/>
    <w:next w:val="679"/>
    <w:link w:val="706"/>
    <w:uiPriority w:val="29"/>
    <w:qFormat/>
    <w:pPr>
      <w:jc w:val="center"/>
      <w:spacing w:before="160" w:after="160"/>
    </w:pPr>
    <w:rPr>
      <w:i/>
      <w:iCs/>
      <w:color w:val="404040" w:themeColor="text1" w:themeTint="BF"/>
    </w:rPr>
  </w:style>
  <w:style w:type="character" w:styleId="706" w:customStyle="1">
    <w:name w:val="Цитата 2 Знак"/>
    <w:basedOn w:val="689"/>
    <w:link w:val="705"/>
    <w:uiPriority w:val="29"/>
    <w:rPr>
      <w:i/>
      <w:iCs/>
      <w:color w:val="404040" w:themeColor="text1" w:themeTint="BF"/>
    </w:rPr>
  </w:style>
  <w:style w:type="paragraph" w:styleId="707">
    <w:name w:val="List Paragraph"/>
    <w:basedOn w:val="679"/>
    <w:uiPriority w:val="34"/>
    <w:qFormat/>
    <w:pPr>
      <w:contextualSpacing/>
      <w:ind w:left="720"/>
    </w:pPr>
  </w:style>
  <w:style w:type="character" w:styleId="708">
    <w:name w:val="Intense Emphasis"/>
    <w:basedOn w:val="689"/>
    <w:uiPriority w:val="21"/>
    <w:qFormat/>
    <w:rPr>
      <w:i/>
      <w:iCs/>
      <w:color w:val="2f5496" w:themeColor="accent1" w:themeShade="BF"/>
    </w:rPr>
  </w:style>
  <w:style w:type="paragraph" w:styleId="709">
    <w:name w:val="Intense Quote"/>
    <w:basedOn w:val="679"/>
    <w:next w:val="679"/>
    <w:link w:val="710"/>
    <w:uiPriority w:val="30"/>
    <w:qFormat/>
    <w:pPr>
      <w:ind w:left="864" w:right="864"/>
      <w:jc w:val="center"/>
      <w:spacing w:before="360" w:after="360"/>
      <w:pBdr>
        <w:top w:val="single" w:color="2F5496" w:themeColor="accent1" w:themeShade="BF" w:sz="4" w:space="10"/>
        <w:bottom w:val="single" w:color="2F5496" w:themeColor="accent1" w:themeShade="BF" w:sz="4" w:space="10"/>
      </w:pBdr>
    </w:pPr>
    <w:rPr>
      <w:i/>
      <w:iCs/>
      <w:color w:val="2f5496" w:themeColor="accent1" w:themeShade="BF"/>
    </w:rPr>
  </w:style>
  <w:style w:type="character" w:styleId="710" w:customStyle="1">
    <w:name w:val="Выделенная цитата Знак"/>
    <w:basedOn w:val="689"/>
    <w:link w:val="709"/>
    <w:uiPriority w:val="30"/>
    <w:rPr>
      <w:i/>
      <w:iCs/>
      <w:color w:val="2f5496" w:themeColor="accent1" w:themeShade="BF"/>
    </w:rPr>
  </w:style>
  <w:style w:type="character" w:styleId="711">
    <w:name w:val="Intense Reference"/>
    <w:basedOn w:val="689"/>
    <w:uiPriority w:val="32"/>
    <w:qFormat/>
    <w:rPr>
      <w:b/>
      <w:bCs/>
      <w:smallCaps/>
      <w:color w:val="2f5496" w:themeColor="accent1" w:themeShade="BF"/>
      <w:spacing w:val="5"/>
    </w:rPr>
  </w:style>
  <w:style w:type="paragraph" w:styleId="712" w:customStyle="1">
    <w:name w:val="p1"/>
    <w:basedOn w:val="679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ru-RU"/>
      <w14:ligatures w14:val="none"/>
    </w:rPr>
  </w:style>
  <w:style w:type="character" w:styleId="713" w:customStyle="1">
    <w:name w:val="s1"/>
    <w:basedOn w:val="689"/>
  </w:style>
  <w:style w:type="paragraph" w:styleId="714" w:customStyle="1">
    <w:name w:val="p2"/>
    <w:basedOn w:val="679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ru-RU"/>
      <w14:ligatures w14:val="none"/>
    </w:rPr>
  </w:style>
  <w:style w:type="paragraph" w:styleId="715" w:customStyle="1">
    <w:name w:val="p4"/>
    <w:basedOn w:val="679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ru-RU"/>
      <w14:ligatures w14:val="none"/>
    </w:rPr>
  </w:style>
  <w:style w:type="character" w:styleId="716" w:customStyle="1">
    <w:name w:val="s3"/>
    <w:basedOn w:val="689"/>
  </w:style>
  <w:style w:type="paragraph" w:styleId="717" w:customStyle="1">
    <w:name w:val="p3"/>
    <w:basedOn w:val="679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ru-RU"/>
      <w14:ligatures w14:val="none"/>
    </w:rPr>
  </w:style>
  <w:style w:type="character" w:styleId="718" w:customStyle="1">
    <w:name w:val="s2"/>
    <w:basedOn w:val="689"/>
  </w:style>
  <w:style w:type="table" w:styleId="719">
    <w:name w:val="Table Grid"/>
    <w:basedOn w:val="690"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720">
    <w:name w:val="Normal (Web)"/>
    <w:basedOn w:val="679"/>
    <w:uiPriority w:val="99"/>
    <w:semiHidden/>
    <w:unhideWhenUsed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ru-RU"/>
      <w14:ligatures w14:val="none"/>
    </w:rPr>
  </w:style>
  <w:style w:type="character" w:styleId="721" w:customStyle="1">
    <w:name w:val="apple-converted-space"/>
    <w:basedOn w:val="689"/>
  </w:style>
  <w:style w:type="character" w:styleId="722">
    <w:name w:val="Hyperlink"/>
    <w:basedOn w:val="689"/>
    <w:uiPriority w:val="99"/>
    <w:semiHidden/>
    <w:unhideWhenUsed/>
    <w:rPr>
      <w:color w:val="0000ff"/>
      <w:u w:val="single"/>
    </w:rPr>
  </w:style>
  <w:style w:type="paragraph" w:styleId="723">
    <w:name w:val="Header"/>
    <w:basedOn w:val="679"/>
    <w:link w:val="724"/>
    <w:uiPriority w:val="99"/>
    <w:unhideWhenUsed/>
    <w:pPr>
      <w:tabs>
        <w:tab w:val="center" w:pos="4677" w:leader="none"/>
        <w:tab w:val="right" w:pos="9355" w:leader="none"/>
      </w:tabs>
    </w:pPr>
    <w:rPr>
      <w:rFonts w:ascii="Times New Roman" w:hAnsi="Times New Roman" w:eastAsia="Calibri" w:cs="Times New Roman"/>
      <w:sz w:val="20"/>
      <w:szCs w:val="20"/>
      <w:lang w:eastAsia="ru-RU"/>
      <w14:ligatures w14:val="none"/>
    </w:rPr>
  </w:style>
  <w:style w:type="character" w:styleId="724" w:customStyle="1">
    <w:name w:val="Верхний колонтитул Знак"/>
    <w:basedOn w:val="689"/>
    <w:link w:val="723"/>
    <w:uiPriority w:val="99"/>
    <w:rPr>
      <w:rFonts w:ascii="Times New Roman" w:hAnsi="Times New Roman" w:eastAsia="Calibri" w:cs="Times New Roman"/>
      <w:sz w:val="20"/>
      <w:szCs w:val="20"/>
      <w:lang w:eastAsia="ru-RU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софия хорава</dc:creator>
  <cp:keywords/>
  <dc:description/>
  <cp:lastModifiedBy>Лев Маренцов</cp:lastModifiedBy>
  <cp:revision>5</cp:revision>
  <dcterms:created xsi:type="dcterms:W3CDTF">2025-11-17T20:53:00Z</dcterms:created>
  <dcterms:modified xsi:type="dcterms:W3CDTF">2025-11-26T06:57:05Z</dcterms:modified>
</cp:coreProperties>
</file>